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3795" w14:textId="3E9348AB" w:rsidR="00E4048E" w:rsidRPr="00E4048E" w:rsidRDefault="00E4048E" w:rsidP="00430DE4">
      <w:pPr>
        <w:pStyle w:val="Title"/>
      </w:pPr>
      <w:r>
        <w:t xml:space="preserve">CAN BLOCKCHAIN SOLVE THE </w:t>
      </w:r>
      <w:r w:rsidRPr="001C1DE7">
        <w:t>HOLD</w:t>
      </w:r>
      <w:r w:rsidR="00485CB8">
        <w:t>-</w:t>
      </w:r>
      <w:r w:rsidRPr="001C1DE7">
        <w:t xml:space="preserve">UP </w:t>
      </w:r>
      <w:r>
        <w:t xml:space="preserve">PROBLEM </w:t>
      </w:r>
      <w:r w:rsidRPr="001C1DE7">
        <w:t>IN CONTRACTS</w:t>
      </w:r>
      <w:r w:rsidR="00430DE4">
        <w:t>?</w:t>
      </w:r>
    </w:p>
    <w:p w14:paraId="16C03230" w14:textId="6F9291E8" w:rsidR="00FB248C" w:rsidRDefault="00FB248C" w:rsidP="00E4048E">
      <w:r>
        <w:t>Richard Holden and Anup Malani</w:t>
      </w:r>
      <w:r w:rsidR="005E03F5">
        <w:rPr>
          <w:rStyle w:val="FootnoteReference"/>
        </w:rPr>
        <w:footnoteReference w:id="1"/>
      </w:r>
    </w:p>
    <w:p w14:paraId="66521402" w14:textId="77777777" w:rsidR="00FB248C" w:rsidRDefault="00FB248C"/>
    <w:p w14:paraId="75D66FE2" w14:textId="77777777" w:rsidR="00FB248C" w:rsidRPr="00046543" w:rsidRDefault="00FB248C" w:rsidP="00577C20">
      <w:r w:rsidRPr="00046543">
        <w:rPr>
          <w:b/>
        </w:rPr>
        <w:t>Abstract</w:t>
      </w:r>
    </w:p>
    <w:p w14:paraId="15B7F225" w14:textId="77777777" w:rsidR="00B94155" w:rsidRDefault="00B94155" w:rsidP="00B94155">
      <w:r>
        <w:t xml:space="preserve">A vexing problem in contract law is contract modification.  Two parties sign a contract but before they fully perform they modify the contract.  Should courts enforce the modified agreement?  On the one hand, the modification may enable efficient trade in response to changed circumstances.  On the other hand, one party may have made an efficient relationship-specific investment and then been held-up by the other, a result that would discourage such investment in the future.  Courts have tried to tackle this problem by using, e.g., the duress doctrine, to distinguish the two scenarios.  However, they have had difficulty because the facts required to apply the doctrine are non-verifiable, i.e., not reliably provable to the court by the parties.   </w:t>
      </w:r>
    </w:p>
    <w:p w14:paraId="4CD1247F" w14:textId="77777777" w:rsidR="00B94155" w:rsidRDefault="00B94155" w:rsidP="00B94155">
      <w:r>
        <w:t xml:space="preserve">A private remedy is for the parties to write a contract that is robust to hold-up or that makes the facts relevant to modification verifiable.  Economists call provisions that accomplish these ends renegotiation design and revelation mechanisms, respectively.  The challenge to implementing them is that they require commitment to the provisions, i.e., they themselves are subject to non-compliance.  Conventional contract technology, e.g., the use of liquidated damages, to ensure commitment are disfavored by courts and themselves subject to renegotiation.  </w:t>
      </w:r>
    </w:p>
    <w:p w14:paraId="1491A409" w14:textId="2209624B" w:rsidR="00A45BBB" w:rsidRDefault="00B94155">
      <w:r>
        <w:t>Smart contracts written on blockchain ledgers may offer a solution.  We explain the basic economics and legal relevance of these technologies.  We argue that they can used to implement liquidated damages without court involvement and thereby obtain commitment to, e.g., renegotiation design and revelation mechanisms.  We address the hurdles courts may impose to use of smart contracts on blockchain and show that sophisticated parties’ ex ante commitment to them may lead courts to allow their use as pre-commitment devices.</w:t>
      </w:r>
    </w:p>
    <w:p w14:paraId="5D6BE707" w14:textId="77777777" w:rsidR="00A23C1A" w:rsidRDefault="00A23C1A"/>
    <w:p w14:paraId="43454484" w14:textId="77777777" w:rsidR="001A2631" w:rsidRDefault="001A2631">
      <w:r>
        <w:br w:type="page"/>
      </w:r>
    </w:p>
    <w:p w14:paraId="064297C0" w14:textId="5AE29FE5" w:rsidR="00485CB8" w:rsidRDefault="001A2631">
      <w:pPr>
        <w:pStyle w:val="TOC1"/>
        <w:rPr>
          <w:rFonts w:eastAsiaTheme="minorEastAsia"/>
          <w:noProof/>
        </w:rPr>
      </w:pPr>
      <w:r>
        <w:lastRenderedPageBreak/>
        <w:fldChar w:fldCharType="begin"/>
      </w:r>
      <w:r>
        <w:instrText xml:space="preserve"> TOC \o "1-2" \h \z \u </w:instrText>
      </w:r>
      <w:r>
        <w:fldChar w:fldCharType="separate"/>
      </w:r>
      <w:hyperlink w:anchor="_Toc508877626" w:history="1">
        <w:r w:rsidR="00485CB8" w:rsidRPr="000A1882">
          <w:rPr>
            <w:rStyle w:val="Hyperlink"/>
            <w:noProof/>
          </w:rPr>
          <w:t>I.</w:t>
        </w:r>
        <w:r w:rsidR="00485CB8">
          <w:rPr>
            <w:rFonts w:eastAsiaTheme="minorEastAsia"/>
            <w:noProof/>
          </w:rPr>
          <w:tab/>
        </w:r>
        <w:r w:rsidR="00485CB8" w:rsidRPr="000A1882">
          <w:rPr>
            <w:rStyle w:val="Hyperlink"/>
            <w:noProof/>
          </w:rPr>
          <w:t>INTRODUCTION</w:t>
        </w:r>
        <w:r w:rsidR="00485CB8">
          <w:rPr>
            <w:noProof/>
            <w:webHidden/>
          </w:rPr>
          <w:tab/>
        </w:r>
        <w:r w:rsidR="00485CB8">
          <w:rPr>
            <w:noProof/>
            <w:webHidden/>
          </w:rPr>
          <w:fldChar w:fldCharType="begin"/>
        </w:r>
        <w:r w:rsidR="00485CB8">
          <w:rPr>
            <w:noProof/>
            <w:webHidden/>
          </w:rPr>
          <w:instrText xml:space="preserve"> PAGEREF _Toc508877626 \h </w:instrText>
        </w:r>
        <w:r w:rsidR="00485CB8">
          <w:rPr>
            <w:noProof/>
            <w:webHidden/>
          </w:rPr>
        </w:r>
        <w:r w:rsidR="00485CB8">
          <w:rPr>
            <w:noProof/>
            <w:webHidden/>
          </w:rPr>
          <w:fldChar w:fldCharType="separate"/>
        </w:r>
        <w:r w:rsidR="00485CB8">
          <w:rPr>
            <w:noProof/>
            <w:webHidden/>
          </w:rPr>
          <w:t>3</w:t>
        </w:r>
        <w:r w:rsidR="00485CB8">
          <w:rPr>
            <w:noProof/>
            <w:webHidden/>
          </w:rPr>
          <w:fldChar w:fldCharType="end"/>
        </w:r>
      </w:hyperlink>
    </w:p>
    <w:p w14:paraId="43C45EA4" w14:textId="54610C55" w:rsidR="00485CB8" w:rsidRDefault="00485CB8">
      <w:pPr>
        <w:pStyle w:val="TOC1"/>
        <w:rPr>
          <w:rFonts w:eastAsiaTheme="minorEastAsia"/>
          <w:noProof/>
        </w:rPr>
      </w:pPr>
      <w:hyperlink w:anchor="_Toc508877627" w:history="1">
        <w:r w:rsidRPr="000A1882">
          <w:rPr>
            <w:rStyle w:val="Hyperlink"/>
            <w:noProof/>
          </w:rPr>
          <w:t>II.</w:t>
        </w:r>
        <w:r>
          <w:rPr>
            <w:rFonts w:eastAsiaTheme="minorEastAsia"/>
            <w:noProof/>
          </w:rPr>
          <w:tab/>
        </w:r>
        <w:r w:rsidRPr="000A1882">
          <w:rPr>
            <w:rStyle w:val="Hyperlink"/>
            <w:noProof/>
          </w:rPr>
          <w:t>THE HOLD-UP PROBLEM, ITS IMPACT AND MECHANISM DESIGN</w:t>
        </w:r>
        <w:r>
          <w:rPr>
            <w:noProof/>
            <w:webHidden/>
          </w:rPr>
          <w:tab/>
        </w:r>
        <w:r>
          <w:rPr>
            <w:noProof/>
            <w:webHidden/>
          </w:rPr>
          <w:fldChar w:fldCharType="begin"/>
        </w:r>
        <w:r>
          <w:rPr>
            <w:noProof/>
            <w:webHidden/>
          </w:rPr>
          <w:instrText xml:space="preserve"> PAGEREF _Toc508877627 \h </w:instrText>
        </w:r>
        <w:r>
          <w:rPr>
            <w:noProof/>
            <w:webHidden/>
          </w:rPr>
        </w:r>
        <w:r>
          <w:rPr>
            <w:noProof/>
            <w:webHidden/>
          </w:rPr>
          <w:fldChar w:fldCharType="separate"/>
        </w:r>
        <w:r>
          <w:rPr>
            <w:noProof/>
            <w:webHidden/>
          </w:rPr>
          <w:t>7</w:t>
        </w:r>
        <w:r>
          <w:rPr>
            <w:noProof/>
            <w:webHidden/>
          </w:rPr>
          <w:fldChar w:fldCharType="end"/>
        </w:r>
      </w:hyperlink>
    </w:p>
    <w:p w14:paraId="5F6F94C4" w14:textId="65DF7AAE" w:rsidR="00485CB8" w:rsidRDefault="00485CB8">
      <w:pPr>
        <w:pStyle w:val="TOC2"/>
        <w:tabs>
          <w:tab w:val="left" w:pos="660"/>
          <w:tab w:val="right" w:leader="dot" w:pos="9350"/>
        </w:tabs>
        <w:rPr>
          <w:rFonts w:eastAsiaTheme="minorEastAsia"/>
          <w:noProof/>
        </w:rPr>
      </w:pPr>
      <w:hyperlink w:anchor="_Toc508877628" w:history="1">
        <w:r w:rsidRPr="000A1882">
          <w:rPr>
            <w:rStyle w:val="Hyperlink"/>
            <w:noProof/>
          </w:rPr>
          <w:t>A.</w:t>
        </w:r>
        <w:r>
          <w:rPr>
            <w:rFonts w:eastAsiaTheme="minorEastAsia"/>
            <w:noProof/>
          </w:rPr>
          <w:tab/>
        </w:r>
        <w:r w:rsidRPr="000A1882">
          <w:rPr>
            <w:rStyle w:val="Hyperlink"/>
            <w:noProof/>
          </w:rPr>
          <w:t>Examples of hold-up</w:t>
        </w:r>
        <w:r>
          <w:rPr>
            <w:noProof/>
            <w:webHidden/>
          </w:rPr>
          <w:tab/>
        </w:r>
        <w:r>
          <w:rPr>
            <w:noProof/>
            <w:webHidden/>
          </w:rPr>
          <w:fldChar w:fldCharType="begin"/>
        </w:r>
        <w:r>
          <w:rPr>
            <w:noProof/>
            <w:webHidden/>
          </w:rPr>
          <w:instrText xml:space="preserve"> PAGEREF _Toc508877628 \h </w:instrText>
        </w:r>
        <w:r>
          <w:rPr>
            <w:noProof/>
            <w:webHidden/>
          </w:rPr>
        </w:r>
        <w:r>
          <w:rPr>
            <w:noProof/>
            <w:webHidden/>
          </w:rPr>
          <w:fldChar w:fldCharType="separate"/>
        </w:r>
        <w:r>
          <w:rPr>
            <w:noProof/>
            <w:webHidden/>
          </w:rPr>
          <w:t>7</w:t>
        </w:r>
        <w:r>
          <w:rPr>
            <w:noProof/>
            <w:webHidden/>
          </w:rPr>
          <w:fldChar w:fldCharType="end"/>
        </w:r>
      </w:hyperlink>
    </w:p>
    <w:p w14:paraId="56AAFF37" w14:textId="476CF39A" w:rsidR="00485CB8" w:rsidRDefault="00485CB8">
      <w:pPr>
        <w:pStyle w:val="TOC2"/>
        <w:tabs>
          <w:tab w:val="left" w:pos="660"/>
          <w:tab w:val="right" w:leader="dot" w:pos="9350"/>
        </w:tabs>
        <w:rPr>
          <w:rFonts w:eastAsiaTheme="minorEastAsia"/>
          <w:noProof/>
        </w:rPr>
      </w:pPr>
      <w:hyperlink w:anchor="_Toc508877629" w:history="1">
        <w:r w:rsidRPr="000A1882">
          <w:rPr>
            <w:rStyle w:val="Hyperlink"/>
            <w:noProof/>
          </w:rPr>
          <w:t>B.</w:t>
        </w:r>
        <w:r>
          <w:rPr>
            <w:rFonts w:eastAsiaTheme="minorEastAsia"/>
            <w:noProof/>
          </w:rPr>
          <w:tab/>
        </w:r>
        <w:r w:rsidRPr="000A1882">
          <w:rPr>
            <w:rStyle w:val="Hyperlink"/>
            <w:noProof/>
          </w:rPr>
          <w:t>The hold-up problem and its impacts</w:t>
        </w:r>
        <w:r>
          <w:rPr>
            <w:noProof/>
            <w:webHidden/>
          </w:rPr>
          <w:tab/>
        </w:r>
        <w:r>
          <w:rPr>
            <w:noProof/>
            <w:webHidden/>
          </w:rPr>
          <w:fldChar w:fldCharType="begin"/>
        </w:r>
        <w:r>
          <w:rPr>
            <w:noProof/>
            <w:webHidden/>
          </w:rPr>
          <w:instrText xml:space="preserve"> PAGEREF _Toc508877629 \h </w:instrText>
        </w:r>
        <w:r>
          <w:rPr>
            <w:noProof/>
            <w:webHidden/>
          </w:rPr>
        </w:r>
        <w:r>
          <w:rPr>
            <w:noProof/>
            <w:webHidden/>
          </w:rPr>
          <w:fldChar w:fldCharType="separate"/>
        </w:r>
        <w:r>
          <w:rPr>
            <w:noProof/>
            <w:webHidden/>
          </w:rPr>
          <w:t>8</w:t>
        </w:r>
        <w:r>
          <w:rPr>
            <w:noProof/>
            <w:webHidden/>
          </w:rPr>
          <w:fldChar w:fldCharType="end"/>
        </w:r>
      </w:hyperlink>
    </w:p>
    <w:p w14:paraId="790DBCEA" w14:textId="3CFDDC42" w:rsidR="00485CB8" w:rsidRDefault="00485CB8">
      <w:pPr>
        <w:pStyle w:val="TOC2"/>
        <w:tabs>
          <w:tab w:val="left" w:pos="660"/>
          <w:tab w:val="right" w:leader="dot" w:pos="9350"/>
        </w:tabs>
        <w:rPr>
          <w:rFonts w:eastAsiaTheme="minorEastAsia"/>
          <w:noProof/>
        </w:rPr>
      </w:pPr>
      <w:hyperlink w:anchor="_Toc508877630" w:history="1">
        <w:r w:rsidRPr="000A1882">
          <w:rPr>
            <w:rStyle w:val="Hyperlink"/>
            <w:noProof/>
          </w:rPr>
          <w:t>C.</w:t>
        </w:r>
        <w:r>
          <w:rPr>
            <w:rFonts w:eastAsiaTheme="minorEastAsia"/>
            <w:noProof/>
          </w:rPr>
          <w:tab/>
        </w:r>
        <w:r w:rsidRPr="000A1882">
          <w:rPr>
            <w:rStyle w:val="Hyperlink"/>
            <w:noProof/>
          </w:rPr>
          <w:t>Using renegotiation-design mechanisms to address hold-up</w:t>
        </w:r>
        <w:r>
          <w:rPr>
            <w:noProof/>
            <w:webHidden/>
          </w:rPr>
          <w:tab/>
        </w:r>
        <w:r>
          <w:rPr>
            <w:noProof/>
            <w:webHidden/>
          </w:rPr>
          <w:fldChar w:fldCharType="begin"/>
        </w:r>
        <w:r>
          <w:rPr>
            <w:noProof/>
            <w:webHidden/>
          </w:rPr>
          <w:instrText xml:space="preserve"> PAGEREF _Toc508877630 \h </w:instrText>
        </w:r>
        <w:r>
          <w:rPr>
            <w:noProof/>
            <w:webHidden/>
          </w:rPr>
        </w:r>
        <w:r>
          <w:rPr>
            <w:noProof/>
            <w:webHidden/>
          </w:rPr>
          <w:fldChar w:fldCharType="separate"/>
        </w:r>
        <w:r>
          <w:rPr>
            <w:noProof/>
            <w:webHidden/>
          </w:rPr>
          <w:t>10</w:t>
        </w:r>
        <w:r>
          <w:rPr>
            <w:noProof/>
            <w:webHidden/>
          </w:rPr>
          <w:fldChar w:fldCharType="end"/>
        </w:r>
      </w:hyperlink>
    </w:p>
    <w:p w14:paraId="1F155858" w14:textId="2A1165C5" w:rsidR="00485CB8" w:rsidRDefault="00485CB8">
      <w:pPr>
        <w:pStyle w:val="TOC2"/>
        <w:tabs>
          <w:tab w:val="left" w:pos="660"/>
          <w:tab w:val="right" w:leader="dot" w:pos="9350"/>
        </w:tabs>
        <w:rPr>
          <w:rFonts w:eastAsiaTheme="minorEastAsia"/>
          <w:noProof/>
        </w:rPr>
      </w:pPr>
      <w:hyperlink w:anchor="_Toc508877631" w:history="1">
        <w:r w:rsidRPr="000A1882">
          <w:rPr>
            <w:rStyle w:val="Hyperlink"/>
            <w:noProof/>
          </w:rPr>
          <w:t>D.</w:t>
        </w:r>
        <w:r>
          <w:rPr>
            <w:rFonts w:eastAsiaTheme="minorEastAsia"/>
            <w:noProof/>
          </w:rPr>
          <w:tab/>
        </w:r>
        <w:r w:rsidRPr="000A1882">
          <w:rPr>
            <w:rStyle w:val="Hyperlink"/>
            <w:noProof/>
          </w:rPr>
          <w:t>Mechanisms to address non-verifiability more generally</w:t>
        </w:r>
        <w:r>
          <w:rPr>
            <w:noProof/>
            <w:webHidden/>
          </w:rPr>
          <w:tab/>
        </w:r>
        <w:r>
          <w:rPr>
            <w:noProof/>
            <w:webHidden/>
          </w:rPr>
          <w:fldChar w:fldCharType="begin"/>
        </w:r>
        <w:r>
          <w:rPr>
            <w:noProof/>
            <w:webHidden/>
          </w:rPr>
          <w:instrText xml:space="preserve"> PAGEREF _Toc508877631 \h </w:instrText>
        </w:r>
        <w:r>
          <w:rPr>
            <w:noProof/>
            <w:webHidden/>
          </w:rPr>
        </w:r>
        <w:r>
          <w:rPr>
            <w:noProof/>
            <w:webHidden/>
          </w:rPr>
          <w:fldChar w:fldCharType="separate"/>
        </w:r>
        <w:r>
          <w:rPr>
            <w:noProof/>
            <w:webHidden/>
          </w:rPr>
          <w:t>12</w:t>
        </w:r>
        <w:r>
          <w:rPr>
            <w:noProof/>
            <w:webHidden/>
          </w:rPr>
          <w:fldChar w:fldCharType="end"/>
        </w:r>
      </w:hyperlink>
    </w:p>
    <w:p w14:paraId="10EADAD9" w14:textId="5558E9CE" w:rsidR="00485CB8" w:rsidRDefault="00485CB8">
      <w:pPr>
        <w:pStyle w:val="TOC2"/>
        <w:tabs>
          <w:tab w:val="left" w:pos="660"/>
          <w:tab w:val="right" w:leader="dot" w:pos="9350"/>
        </w:tabs>
        <w:rPr>
          <w:rFonts w:eastAsiaTheme="minorEastAsia"/>
          <w:noProof/>
        </w:rPr>
      </w:pPr>
      <w:hyperlink w:anchor="_Toc508877632" w:history="1">
        <w:r w:rsidRPr="000A1882">
          <w:rPr>
            <w:rStyle w:val="Hyperlink"/>
            <w:noProof/>
          </w:rPr>
          <w:t>E.</w:t>
        </w:r>
        <w:r>
          <w:rPr>
            <w:rFonts w:eastAsiaTheme="minorEastAsia"/>
            <w:noProof/>
          </w:rPr>
          <w:tab/>
        </w:r>
        <w:r w:rsidRPr="000A1882">
          <w:rPr>
            <w:rStyle w:val="Hyperlink"/>
            <w:noProof/>
          </w:rPr>
          <w:t>Information problems that hamper mechanisms</w:t>
        </w:r>
        <w:r>
          <w:rPr>
            <w:noProof/>
            <w:webHidden/>
          </w:rPr>
          <w:tab/>
        </w:r>
        <w:r>
          <w:rPr>
            <w:noProof/>
            <w:webHidden/>
          </w:rPr>
          <w:fldChar w:fldCharType="begin"/>
        </w:r>
        <w:r>
          <w:rPr>
            <w:noProof/>
            <w:webHidden/>
          </w:rPr>
          <w:instrText xml:space="preserve"> PAGEREF _Toc508877632 \h </w:instrText>
        </w:r>
        <w:r>
          <w:rPr>
            <w:noProof/>
            <w:webHidden/>
          </w:rPr>
        </w:r>
        <w:r>
          <w:rPr>
            <w:noProof/>
            <w:webHidden/>
          </w:rPr>
          <w:fldChar w:fldCharType="separate"/>
        </w:r>
        <w:r>
          <w:rPr>
            <w:noProof/>
            <w:webHidden/>
          </w:rPr>
          <w:t>13</w:t>
        </w:r>
        <w:r>
          <w:rPr>
            <w:noProof/>
            <w:webHidden/>
          </w:rPr>
          <w:fldChar w:fldCharType="end"/>
        </w:r>
      </w:hyperlink>
    </w:p>
    <w:p w14:paraId="1CDA771F" w14:textId="43B32725" w:rsidR="00485CB8" w:rsidRDefault="00485CB8">
      <w:pPr>
        <w:pStyle w:val="TOC1"/>
        <w:rPr>
          <w:rFonts w:eastAsiaTheme="minorEastAsia"/>
          <w:noProof/>
        </w:rPr>
      </w:pPr>
      <w:hyperlink w:anchor="_Toc508877633" w:history="1">
        <w:r w:rsidRPr="000A1882">
          <w:rPr>
            <w:rStyle w:val="Hyperlink"/>
            <w:noProof/>
          </w:rPr>
          <w:t>III.</w:t>
        </w:r>
        <w:r>
          <w:rPr>
            <w:rFonts w:eastAsiaTheme="minorEastAsia"/>
            <w:noProof/>
          </w:rPr>
          <w:tab/>
        </w:r>
        <w:r w:rsidRPr="000A1882">
          <w:rPr>
            <w:rStyle w:val="Hyperlink"/>
            <w:noProof/>
          </w:rPr>
          <w:t>POSSIBLE SOLUTIONS TO THE HOLD-UP PROBLEM</w:t>
        </w:r>
        <w:r>
          <w:rPr>
            <w:noProof/>
            <w:webHidden/>
          </w:rPr>
          <w:tab/>
        </w:r>
        <w:r>
          <w:rPr>
            <w:noProof/>
            <w:webHidden/>
          </w:rPr>
          <w:fldChar w:fldCharType="begin"/>
        </w:r>
        <w:r>
          <w:rPr>
            <w:noProof/>
            <w:webHidden/>
          </w:rPr>
          <w:instrText xml:space="preserve"> PAGEREF _Toc508877633 \h </w:instrText>
        </w:r>
        <w:r>
          <w:rPr>
            <w:noProof/>
            <w:webHidden/>
          </w:rPr>
        </w:r>
        <w:r>
          <w:rPr>
            <w:noProof/>
            <w:webHidden/>
          </w:rPr>
          <w:fldChar w:fldCharType="separate"/>
        </w:r>
        <w:r>
          <w:rPr>
            <w:noProof/>
            <w:webHidden/>
          </w:rPr>
          <w:t>14</w:t>
        </w:r>
        <w:r>
          <w:rPr>
            <w:noProof/>
            <w:webHidden/>
          </w:rPr>
          <w:fldChar w:fldCharType="end"/>
        </w:r>
      </w:hyperlink>
    </w:p>
    <w:p w14:paraId="0418B443" w14:textId="3FEFCFAE" w:rsidR="00485CB8" w:rsidRDefault="00485CB8">
      <w:pPr>
        <w:pStyle w:val="TOC2"/>
        <w:tabs>
          <w:tab w:val="left" w:pos="660"/>
          <w:tab w:val="right" w:leader="dot" w:pos="9350"/>
        </w:tabs>
        <w:rPr>
          <w:rFonts w:eastAsiaTheme="minorEastAsia"/>
          <w:noProof/>
        </w:rPr>
      </w:pPr>
      <w:hyperlink w:anchor="_Toc508877634" w:history="1">
        <w:r w:rsidRPr="000A1882">
          <w:rPr>
            <w:rStyle w:val="Hyperlink"/>
            <w:noProof/>
          </w:rPr>
          <w:t>A.</w:t>
        </w:r>
        <w:r>
          <w:rPr>
            <w:rFonts w:eastAsiaTheme="minorEastAsia"/>
            <w:noProof/>
          </w:rPr>
          <w:tab/>
        </w:r>
        <w:r w:rsidRPr="000A1882">
          <w:rPr>
            <w:rStyle w:val="Hyperlink"/>
            <w:noProof/>
          </w:rPr>
          <w:t>Public solutions</w:t>
        </w:r>
        <w:r>
          <w:rPr>
            <w:noProof/>
            <w:webHidden/>
          </w:rPr>
          <w:tab/>
        </w:r>
        <w:r>
          <w:rPr>
            <w:noProof/>
            <w:webHidden/>
          </w:rPr>
          <w:fldChar w:fldCharType="begin"/>
        </w:r>
        <w:r>
          <w:rPr>
            <w:noProof/>
            <w:webHidden/>
          </w:rPr>
          <w:instrText xml:space="preserve"> PAGEREF _Toc508877634 \h </w:instrText>
        </w:r>
        <w:r>
          <w:rPr>
            <w:noProof/>
            <w:webHidden/>
          </w:rPr>
        </w:r>
        <w:r>
          <w:rPr>
            <w:noProof/>
            <w:webHidden/>
          </w:rPr>
          <w:fldChar w:fldCharType="separate"/>
        </w:r>
        <w:r>
          <w:rPr>
            <w:noProof/>
            <w:webHidden/>
          </w:rPr>
          <w:t>14</w:t>
        </w:r>
        <w:r>
          <w:rPr>
            <w:noProof/>
            <w:webHidden/>
          </w:rPr>
          <w:fldChar w:fldCharType="end"/>
        </w:r>
      </w:hyperlink>
    </w:p>
    <w:p w14:paraId="42C81334" w14:textId="0F661284" w:rsidR="00485CB8" w:rsidRDefault="00485CB8">
      <w:pPr>
        <w:pStyle w:val="TOC2"/>
        <w:tabs>
          <w:tab w:val="left" w:pos="660"/>
          <w:tab w:val="right" w:leader="dot" w:pos="9350"/>
        </w:tabs>
        <w:rPr>
          <w:rFonts w:eastAsiaTheme="minorEastAsia"/>
          <w:noProof/>
        </w:rPr>
      </w:pPr>
      <w:hyperlink w:anchor="_Toc508877635" w:history="1">
        <w:r w:rsidRPr="000A1882">
          <w:rPr>
            <w:rStyle w:val="Hyperlink"/>
            <w:noProof/>
          </w:rPr>
          <w:t>B.</w:t>
        </w:r>
        <w:r>
          <w:rPr>
            <w:rFonts w:eastAsiaTheme="minorEastAsia"/>
            <w:noProof/>
          </w:rPr>
          <w:tab/>
        </w:r>
        <w:r w:rsidRPr="000A1882">
          <w:rPr>
            <w:rStyle w:val="Hyperlink"/>
            <w:noProof/>
          </w:rPr>
          <w:t>Private solutions</w:t>
        </w:r>
        <w:r>
          <w:rPr>
            <w:noProof/>
            <w:webHidden/>
          </w:rPr>
          <w:tab/>
        </w:r>
        <w:r>
          <w:rPr>
            <w:noProof/>
            <w:webHidden/>
          </w:rPr>
          <w:fldChar w:fldCharType="begin"/>
        </w:r>
        <w:r>
          <w:rPr>
            <w:noProof/>
            <w:webHidden/>
          </w:rPr>
          <w:instrText xml:space="preserve"> PAGEREF _Toc508877635 \h </w:instrText>
        </w:r>
        <w:r>
          <w:rPr>
            <w:noProof/>
            <w:webHidden/>
          </w:rPr>
        </w:r>
        <w:r>
          <w:rPr>
            <w:noProof/>
            <w:webHidden/>
          </w:rPr>
          <w:fldChar w:fldCharType="separate"/>
        </w:r>
        <w:r>
          <w:rPr>
            <w:noProof/>
            <w:webHidden/>
          </w:rPr>
          <w:t>17</w:t>
        </w:r>
        <w:r>
          <w:rPr>
            <w:noProof/>
            <w:webHidden/>
          </w:rPr>
          <w:fldChar w:fldCharType="end"/>
        </w:r>
      </w:hyperlink>
    </w:p>
    <w:p w14:paraId="109599D2" w14:textId="4BC9E2D7" w:rsidR="00485CB8" w:rsidRDefault="00485CB8">
      <w:pPr>
        <w:pStyle w:val="TOC1"/>
        <w:rPr>
          <w:rFonts w:eastAsiaTheme="minorEastAsia"/>
          <w:noProof/>
        </w:rPr>
      </w:pPr>
      <w:hyperlink w:anchor="_Toc508877636" w:history="1">
        <w:r w:rsidRPr="000A1882">
          <w:rPr>
            <w:rStyle w:val="Hyperlink"/>
            <w:noProof/>
          </w:rPr>
          <w:t>IV.</w:t>
        </w:r>
        <w:r>
          <w:rPr>
            <w:rFonts w:eastAsiaTheme="minorEastAsia"/>
            <w:noProof/>
          </w:rPr>
          <w:tab/>
        </w:r>
        <w:r w:rsidRPr="000A1882">
          <w:rPr>
            <w:rStyle w:val="Hyperlink"/>
            <w:noProof/>
          </w:rPr>
          <w:t>BACKGROUND ON BLOCKCHAIN AND SMART CONTRACTS</w:t>
        </w:r>
        <w:r>
          <w:rPr>
            <w:noProof/>
            <w:webHidden/>
          </w:rPr>
          <w:tab/>
        </w:r>
        <w:r>
          <w:rPr>
            <w:noProof/>
            <w:webHidden/>
          </w:rPr>
          <w:fldChar w:fldCharType="begin"/>
        </w:r>
        <w:r>
          <w:rPr>
            <w:noProof/>
            <w:webHidden/>
          </w:rPr>
          <w:instrText xml:space="preserve"> PAGEREF _Toc508877636 \h </w:instrText>
        </w:r>
        <w:r>
          <w:rPr>
            <w:noProof/>
            <w:webHidden/>
          </w:rPr>
        </w:r>
        <w:r>
          <w:rPr>
            <w:noProof/>
            <w:webHidden/>
          </w:rPr>
          <w:fldChar w:fldCharType="separate"/>
        </w:r>
        <w:r>
          <w:rPr>
            <w:noProof/>
            <w:webHidden/>
          </w:rPr>
          <w:t>20</w:t>
        </w:r>
        <w:r>
          <w:rPr>
            <w:noProof/>
            <w:webHidden/>
          </w:rPr>
          <w:fldChar w:fldCharType="end"/>
        </w:r>
      </w:hyperlink>
    </w:p>
    <w:p w14:paraId="563ABE4B" w14:textId="205C90C4" w:rsidR="00485CB8" w:rsidRDefault="00485CB8">
      <w:pPr>
        <w:pStyle w:val="TOC2"/>
        <w:tabs>
          <w:tab w:val="left" w:pos="660"/>
          <w:tab w:val="right" w:leader="dot" w:pos="9350"/>
        </w:tabs>
        <w:rPr>
          <w:rFonts w:eastAsiaTheme="minorEastAsia"/>
          <w:noProof/>
        </w:rPr>
      </w:pPr>
      <w:hyperlink w:anchor="_Toc508877637" w:history="1">
        <w:r w:rsidRPr="000A1882">
          <w:rPr>
            <w:rStyle w:val="Hyperlink"/>
            <w:noProof/>
          </w:rPr>
          <w:t>A.</w:t>
        </w:r>
        <w:r>
          <w:rPr>
            <w:rFonts w:eastAsiaTheme="minorEastAsia"/>
            <w:noProof/>
          </w:rPr>
          <w:tab/>
        </w:r>
        <w:r w:rsidRPr="000A1882">
          <w:rPr>
            <w:rStyle w:val="Hyperlink"/>
            <w:noProof/>
          </w:rPr>
          <w:t>The value of blockchain</w:t>
        </w:r>
        <w:r>
          <w:rPr>
            <w:noProof/>
            <w:webHidden/>
          </w:rPr>
          <w:tab/>
        </w:r>
        <w:r>
          <w:rPr>
            <w:noProof/>
            <w:webHidden/>
          </w:rPr>
          <w:fldChar w:fldCharType="begin"/>
        </w:r>
        <w:r>
          <w:rPr>
            <w:noProof/>
            <w:webHidden/>
          </w:rPr>
          <w:instrText xml:space="preserve"> PAGEREF _Toc508877637 \h </w:instrText>
        </w:r>
        <w:r>
          <w:rPr>
            <w:noProof/>
            <w:webHidden/>
          </w:rPr>
        </w:r>
        <w:r>
          <w:rPr>
            <w:noProof/>
            <w:webHidden/>
          </w:rPr>
          <w:fldChar w:fldCharType="separate"/>
        </w:r>
        <w:r>
          <w:rPr>
            <w:noProof/>
            <w:webHidden/>
          </w:rPr>
          <w:t>20</w:t>
        </w:r>
        <w:r>
          <w:rPr>
            <w:noProof/>
            <w:webHidden/>
          </w:rPr>
          <w:fldChar w:fldCharType="end"/>
        </w:r>
      </w:hyperlink>
    </w:p>
    <w:p w14:paraId="26A31525" w14:textId="6A82A8E7" w:rsidR="00485CB8" w:rsidRDefault="00485CB8">
      <w:pPr>
        <w:pStyle w:val="TOC2"/>
        <w:tabs>
          <w:tab w:val="left" w:pos="660"/>
          <w:tab w:val="right" w:leader="dot" w:pos="9350"/>
        </w:tabs>
        <w:rPr>
          <w:rFonts w:eastAsiaTheme="minorEastAsia"/>
          <w:noProof/>
        </w:rPr>
      </w:pPr>
      <w:hyperlink w:anchor="_Toc508877638" w:history="1">
        <w:r w:rsidRPr="000A1882">
          <w:rPr>
            <w:rStyle w:val="Hyperlink"/>
            <w:noProof/>
          </w:rPr>
          <w:t>B.</w:t>
        </w:r>
        <w:r>
          <w:rPr>
            <w:rFonts w:eastAsiaTheme="minorEastAsia"/>
            <w:noProof/>
          </w:rPr>
          <w:tab/>
        </w:r>
        <w:r w:rsidRPr="000A1882">
          <w:rPr>
            <w:rStyle w:val="Hyperlink"/>
            <w:noProof/>
          </w:rPr>
          <w:t>The value of smart contracts</w:t>
        </w:r>
        <w:r>
          <w:rPr>
            <w:noProof/>
            <w:webHidden/>
          </w:rPr>
          <w:tab/>
        </w:r>
        <w:r>
          <w:rPr>
            <w:noProof/>
            <w:webHidden/>
          </w:rPr>
          <w:fldChar w:fldCharType="begin"/>
        </w:r>
        <w:r>
          <w:rPr>
            <w:noProof/>
            <w:webHidden/>
          </w:rPr>
          <w:instrText xml:space="preserve"> PAGEREF _Toc508877638 \h </w:instrText>
        </w:r>
        <w:r>
          <w:rPr>
            <w:noProof/>
            <w:webHidden/>
          </w:rPr>
        </w:r>
        <w:r>
          <w:rPr>
            <w:noProof/>
            <w:webHidden/>
          </w:rPr>
          <w:fldChar w:fldCharType="separate"/>
        </w:r>
        <w:r>
          <w:rPr>
            <w:noProof/>
            <w:webHidden/>
          </w:rPr>
          <w:t>24</w:t>
        </w:r>
        <w:r>
          <w:rPr>
            <w:noProof/>
            <w:webHidden/>
          </w:rPr>
          <w:fldChar w:fldCharType="end"/>
        </w:r>
      </w:hyperlink>
    </w:p>
    <w:p w14:paraId="596EF45F" w14:textId="5FCA09D6" w:rsidR="00485CB8" w:rsidRDefault="00485CB8">
      <w:pPr>
        <w:pStyle w:val="TOC1"/>
        <w:rPr>
          <w:rFonts w:eastAsiaTheme="minorEastAsia"/>
          <w:noProof/>
        </w:rPr>
      </w:pPr>
      <w:hyperlink w:anchor="_Toc508877639" w:history="1">
        <w:r w:rsidRPr="000A1882">
          <w:rPr>
            <w:rStyle w:val="Hyperlink"/>
            <w:noProof/>
          </w:rPr>
          <w:t>V.</w:t>
        </w:r>
        <w:r>
          <w:rPr>
            <w:rFonts w:eastAsiaTheme="minorEastAsia"/>
            <w:noProof/>
          </w:rPr>
          <w:tab/>
        </w:r>
        <w:r w:rsidRPr="000A1882">
          <w:rPr>
            <w:rStyle w:val="Hyperlink"/>
            <w:noProof/>
          </w:rPr>
          <w:t>HOW SMART CONTRACTS ON BLOCKCHAIN CAN HELP REDUCE CONTRACTUAL HOLD-UP</w:t>
        </w:r>
        <w:r>
          <w:rPr>
            <w:noProof/>
            <w:webHidden/>
          </w:rPr>
          <w:tab/>
        </w:r>
        <w:r>
          <w:rPr>
            <w:noProof/>
            <w:webHidden/>
          </w:rPr>
          <w:fldChar w:fldCharType="begin"/>
        </w:r>
        <w:r>
          <w:rPr>
            <w:noProof/>
            <w:webHidden/>
          </w:rPr>
          <w:instrText xml:space="preserve"> PAGEREF _Toc508877639 \h </w:instrText>
        </w:r>
        <w:r>
          <w:rPr>
            <w:noProof/>
            <w:webHidden/>
          </w:rPr>
        </w:r>
        <w:r>
          <w:rPr>
            <w:noProof/>
            <w:webHidden/>
          </w:rPr>
          <w:fldChar w:fldCharType="separate"/>
        </w:r>
        <w:r>
          <w:rPr>
            <w:noProof/>
            <w:webHidden/>
          </w:rPr>
          <w:t>28</w:t>
        </w:r>
        <w:r>
          <w:rPr>
            <w:noProof/>
            <w:webHidden/>
          </w:rPr>
          <w:fldChar w:fldCharType="end"/>
        </w:r>
      </w:hyperlink>
    </w:p>
    <w:p w14:paraId="10A1C8BD" w14:textId="43E24D8C" w:rsidR="00485CB8" w:rsidRDefault="00485CB8">
      <w:pPr>
        <w:pStyle w:val="TOC2"/>
        <w:tabs>
          <w:tab w:val="left" w:pos="660"/>
          <w:tab w:val="right" w:leader="dot" w:pos="9350"/>
        </w:tabs>
        <w:rPr>
          <w:rFonts w:eastAsiaTheme="minorEastAsia"/>
          <w:noProof/>
        </w:rPr>
      </w:pPr>
      <w:hyperlink w:anchor="_Toc508877640" w:history="1">
        <w:r w:rsidRPr="000A1882">
          <w:rPr>
            <w:rStyle w:val="Hyperlink"/>
            <w:noProof/>
          </w:rPr>
          <w:t>A.</w:t>
        </w:r>
        <w:r>
          <w:rPr>
            <w:rFonts w:eastAsiaTheme="minorEastAsia"/>
            <w:noProof/>
          </w:rPr>
          <w:tab/>
        </w:r>
        <w:r w:rsidRPr="000A1882">
          <w:rPr>
            <w:rStyle w:val="Hyperlink"/>
            <w:noProof/>
          </w:rPr>
          <w:t>An example with the ADR renegotiation design mechanism</w:t>
        </w:r>
        <w:r>
          <w:rPr>
            <w:noProof/>
            <w:webHidden/>
          </w:rPr>
          <w:tab/>
        </w:r>
        <w:r>
          <w:rPr>
            <w:noProof/>
            <w:webHidden/>
          </w:rPr>
          <w:fldChar w:fldCharType="begin"/>
        </w:r>
        <w:r>
          <w:rPr>
            <w:noProof/>
            <w:webHidden/>
          </w:rPr>
          <w:instrText xml:space="preserve"> PAGEREF _Toc508877640 \h </w:instrText>
        </w:r>
        <w:r>
          <w:rPr>
            <w:noProof/>
            <w:webHidden/>
          </w:rPr>
        </w:r>
        <w:r>
          <w:rPr>
            <w:noProof/>
            <w:webHidden/>
          </w:rPr>
          <w:fldChar w:fldCharType="separate"/>
        </w:r>
        <w:r>
          <w:rPr>
            <w:noProof/>
            <w:webHidden/>
          </w:rPr>
          <w:t>29</w:t>
        </w:r>
        <w:r>
          <w:rPr>
            <w:noProof/>
            <w:webHidden/>
          </w:rPr>
          <w:fldChar w:fldCharType="end"/>
        </w:r>
      </w:hyperlink>
    </w:p>
    <w:p w14:paraId="299EC78A" w14:textId="69835785" w:rsidR="00485CB8" w:rsidRDefault="00485CB8">
      <w:pPr>
        <w:pStyle w:val="TOC2"/>
        <w:tabs>
          <w:tab w:val="left" w:pos="660"/>
          <w:tab w:val="right" w:leader="dot" w:pos="9350"/>
        </w:tabs>
        <w:rPr>
          <w:rFonts w:eastAsiaTheme="minorEastAsia"/>
          <w:noProof/>
        </w:rPr>
      </w:pPr>
      <w:hyperlink w:anchor="_Toc508877641" w:history="1">
        <w:r w:rsidRPr="000A1882">
          <w:rPr>
            <w:rStyle w:val="Hyperlink"/>
            <w:noProof/>
          </w:rPr>
          <w:t>B.</w:t>
        </w:r>
        <w:r>
          <w:rPr>
            <w:rFonts w:eastAsiaTheme="minorEastAsia"/>
            <w:noProof/>
          </w:rPr>
          <w:tab/>
        </w:r>
        <w:r w:rsidRPr="000A1882">
          <w:rPr>
            <w:rStyle w:val="Hyperlink"/>
            <w:noProof/>
          </w:rPr>
          <w:t>Generalizing the example</w:t>
        </w:r>
        <w:r>
          <w:rPr>
            <w:noProof/>
            <w:webHidden/>
          </w:rPr>
          <w:tab/>
        </w:r>
        <w:r>
          <w:rPr>
            <w:noProof/>
            <w:webHidden/>
          </w:rPr>
          <w:fldChar w:fldCharType="begin"/>
        </w:r>
        <w:r>
          <w:rPr>
            <w:noProof/>
            <w:webHidden/>
          </w:rPr>
          <w:instrText xml:space="preserve"> PAGEREF _Toc508877641 \h </w:instrText>
        </w:r>
        <w:r>
          <w:rPr>
            <w:noProof/>
            <w:webHidden/>
          </w:rPr>
        </w:r>
        <w:r>
          <w:rPr>
            <w:noProof/>
            <w:webHidden/>
          </w:rPr>
          <w:fldChar w:fldCharType="separate"/>
        </w:r>
        <w:r>
          <w:rPr>
            <w:noProof/>
            <w:webHidden/>
          </w:rPr>
          <w:t>32</w:t>
        </w:r>
        <w:r>
          <w:rPr>
            <w:noProof/>
            <w:webHidden/>
          </w:rPr>
          <w:fldChar w:fldCharType="end"/>
        </w:r>
      </w:hyperlink>
    </w:p>
    <w:p w14:paraId="4B59BA8B" w14:textId="00C28BD0" w:rsidR="00485CB8" w:rsidRDefault="00485CB8">
      <w:pPr>
        <w:pStyle w:val="TOC2"/>
        <w:tabs>
          <w:tab w:val="left" w:pos="660"/>
          <w:tab w:val="right" w:leader="dot" w:pos="9350"/>
        </w:tabs>
        <w:rPr>
          <w:rFonts w:eastAsiaTheme="minorEastAsia"/>
          <w:noProof/>
        </w:rPr>
      </w:pPr>
      <w:hyperlink w:anchor="_Toc508877642" w:history="1">
        <w:r w:rsidRPr="000A1882">
          <w:rPr>
            <w:rStyle w:val="Hyperlink"/>
            <w:noProof/>
          </w:rPr>
          <w:t>C.</w:t>
        </w:r>
        <w:r>
          <w:rPr>
            <w:rFonts w:eastAsiaTheme="minorEastAsia"/>
            <w:noProof/>
          </w:rPr>
          <w:tab/>
        </w:r>
        <w:r w:rsidRPr="000A1882">
          <w:rPr>
            <w:rStyle w:val="Hyperlink"/>
            <w:noProof/>
          </w:rPr>
          <w:t>Robustness of smart contracts on the blockchain</w:t>
        </w:r>
        <w:r>
          <w:rPr>
            <w:noProof/>
            <w:webHidden/>
          </w:rPr>
          <w:tab/>
        </w:r>
        <w:r>
          <w:rPr>
            <w:noProof/>
            <w:webHidden/>
          </w:rPr>
          <w:fldChar w:fldCharType="begin"/>
        </w:r>
        <w:r>
          <w:rPr>
            <w:noProof/>
            <w:webHidden/>
          </w:rPr>
          <w:instrText xml:space="preserve"> PAGEREF _Toc508877642 \h </w:instrText>
        </w:r>
        <w:r>
          <w:rPr>
            <w:noProof/>
            <w:webHidden/>
          </w:rPr>
        </w:r>
        <w:r>
          <w:rPr>
            <w:noProof/>
            <w:webHidden/>
          </w:rPr>
          <w:fldChar w:fldCharType="separate"/>
        </w:r>
        <w:r>
          <w:rPr>
            <w:noProof/>
            <w:webHidden/>
          </w:rPr>
          <w:t>32</w:t>
        </w:r>
        <w:r>
          <w:rPr>
            <w:noProof/>
            <w:webHidden/>
          </w:rPr>
          <w:fldChar w:fldCharType="end"/>
        </w:r>
      </w:hyperlink>
    </w:p>
    <w:p w14:paraId="4C56564A" w14:textId="2B317BD3" w:rsidR="00485CB8" w:rsidRDefault="00485CB8">
      <w:pPr>
        <w:pStyle w:val="TOC1"/>
        <w:rPr>
          <w:rFonts w:eastAsiaTheme="minorEastAsia"/>
          <w:noProof/>
        </w:rPr>
      </w:pPr>
      <w:hyperlink w:anchor="_Toc508877643" w:history="1">
        <w:r w:rsidRPr="000A1882">
          <w:rPr>
            <w:rStyle w:val="Hyperlink"/>
            <w:noProof/>
          </w:rPr>
          <w:t>VI.</w:t>
        </w:r>
        <w:r>
          <w:rPr>
            <w:rFonts w:eastAsiaTheme="minorEastAsia"/>
            <w:noProof/>
          </w:rPr>
          <w:tab/>
        </w:r>
        <w:r w:rsidRPr="000A1882">
          <w:rPr>
            <w:rStyle w:val="Hyperlink"/>
            <w:noProof/>
          </w:rPr>
          <w:t>CONCLUSION</w:t>
        </w:r>
        <w:r>
          <w:rPr>
            <w:noProof/>
            <w:webHidden/>
          </w:rPr>
          <w:tab/>
        </w:r>
        <w:r>
          <w:rPr>
            <w:noProof/>
            <w:webHidden/>
          </w:rPr>
          <w:fldChar w:fldCharType="begin"/>
        </w:r>
        <w:r>
          <w:rPr>
            <w:noProof/>
            <w:webHidden/>
          </w:rPr>
          <w:instrText xml:space="preserve"> PAGEREF _Toc508877643 \h </w:instrText>
        </w:r>
        <w:r>
          <w:rPr>
            <w:noProof/>
            <w:webHidden/>
          </w:rPr>
        </w:r>
        <w:r>
          <w:rPr>
            <w:noProof/>
            <w:webHidden/>
          </w:rPr>
          <w:fldChar w:fldCharType="separate"/>
        </w:r>
        <w:r>
          <w:rPr>
            <w:noProof/>
            <w:webHidden/>
          </w:rPr>
          <w:t>33</w:t>
        </w:r>
        <w:r>
          <w:rPr>
            <w:noProof/>
            <w:webHidden/>
          </w:rPr>
          <w:fldChar w:fldCharType="end"/>
        </w:r>
      </w:hyperlink>
    </w:p>
    <w:p w14:paraId="27392F06" w14:textId="2FA90004" w:rsidR="00485CB8" w:rsidRDefault="00485CB8">
      <w:pPr>
        <w:pStyle w:val="TOC2"/>
        <w:tabs>
          <w:tab w:val="left" w:pos="660"/>
          <w:tab w:val="right" w:leader="dot" w:pos="9350"/>
        </w:tabs>
        <w:rPr>
          <w:rFonts w:eastAsiaTheme="minorEastAsia"/>
          <w:noProof/>
        </w:rPr>
      </w:pPr>
      <w:hyperlink w:anchor="_Toc508877644" w:history="1">
        <w:r w:rsidRPr="000A1882">
          <w:rPr>
            <w:rStyle w:val="Hyperlink"/>
            <w:noProof/>
          </w:rPr>
          <w:t>A.</w:t>
        </w:r>
        <w:r>
          <w:rPr>
            <w:rFonts w:eastAsiaTheme="minorEastAsia"/>
            <w:noProof/>
          </w:rPr>
          <w:tab/>
        </w:r>
        <w:r w:rsidRPr="000A1882">
          <w:rPr>
            <w:rStyle w:val="Hyperlink"/>
            <w:noProof/>
          </w:rPr>
          <w:t>Implications for size of firms</w:t>
        </w:r>
        <w:r>
          <w:rPr>
            <w:noProof/>
            <w:webHidden/>
          </w:rPr>
          <w:tab/>
        </w:r>
        <w:r>
          <w:rPr>
            <w:noProof/>
            <w:webHidden/>
          </w:rPr>
          <w:fldChar w:fldCharType="begin"/>
        </w:r>
        <w:r>
          <w:rPr>
            <w:noProof/>
            <w:webHidden/>
          </w:rPr>
          <w:instrText xml:space="preserve"> PAGEREF _Toc508877644 \h </w:instrText>
        </w:r>
        <w:r>
          <w:rPr>
            <w:noProof/>
            <w:webHidden/>
          </w:rPr>
        </w:r>
        <w:r>
          <w:rPr>
            <w:noProof/>
            <w:webHidden/>
          </w:rPr>
          <w:fldChar w:fldCharType="separate"/>
        </w:r>
        <w:r>
          <w:rPr>
            <w:noProof/>
            <w:webHidden/>
          </w:rPr>
          <w:t>34</w:t>
        </w:r>
        <w:r>
          <w:rPr>
            <w:noProof/>
            <w:webHidden/>
          </w:rPr>
          <w:fldChar w:fldCharType="end"/>
        </w:r>
      </w:hyperlink>
    </w:p>
    <w:p w14:paraId="57CDC05C" w14:textId="06C1C76C" w:rsidR="00485CB8" w:rsidRDefault="00485CB8">
      <w:pPr>
        <w:pStyle w:val="TOC2"/>
        <w:tabs>
          <w:tab w:val="left" w:pos="660"/>
          <w:tab w:val="right" w:leader="dot" w:pos="9350"/>
        </w:tabs>
        <w:rPr>
          <w:rFonts w:eastAsiaTheme="minorEastAsia"/>
          <w:noProof/>
        </w:rPr>
      </w:pPr>
      <w:hyperlink w:anchor="_Toc508877645" w:history="1">
        <w:r w:rsidRPr="000A1882">
          <w:rPr>
            <w:rStyle w:val="Hyperlink"/>
            <w:noProof/>
          </w:rPr>
          <w:t>B.</w:t>
        </w:r>
        <w:r>
          <w:rPr>
            <w:rFonts w:eastAsiaTheme="minorEastAsia"/>
            <w:noProof/>
          </w:rPr>
          <w:tab/>
        </w:r>
        <w:r w:rsidRPr="000A1882">
          <w:rPr>
            <w:rStyle w:val="Hyperlink"/>
            <w:noProof/>
          </w:rPr>
          <w:t>Speculation about effects on contracting generally</w:t>
        </w:r>
        <w:r>
          <w:rPr>
            <w:noProof/>
            <w:webHidden/>
          </w:rPr>
          <w:tab/>
        </w:r>
        <w:r>
          <w:rPr>
            <w:noProof/>
            <w:webHidden/>
          </w:rPr>
          <w:fldChar w:fldCharType="begin"/>
        </w:r>
        <w:r>
          <w:rPr>
            <w:noProof/>
            <w:webHidden/>
          </w:rPr>
          <w:instrText xml:space="preserve"> PAGEREF _Toc508877645 \h </w:instrText>
        </w:r>
        <w:r>
          <w:rPr>
            <w:noProof/>
            <w:webHidden/>
          </w:rPr>
        </w:r>
        <w:r>
          <w:rPr>
            <w:noProof/>
            <w:webHidden/>
          </w:rPr>
          <w:fldChar w:fldCharType="separate"/>
        </w:r>
        <w:r>
          <w:rPr>
            <w:noProof/>
            <w:webHidden/>
          </w:rPr>
          <w:t>34</w:t>
        </w:r>
        <w:r>
          <w:rPr>
            <w:noProof/>
            <w:webHidden/>
          </w:rPr>
          <w:fldChar w:fldCharType="end"/>
        </w:r>
      </w:hyperlink>
    </w:p>
    <w:p w14:paraId="0B5978B2" w14:textId="140D3FBE" w:rsidR="00485CB8" w:rsidRDefault="00485CB8">
      <w:pPr>
        <w:pStyle w:val="TOC2"/>
        <w:tabs>
          <w:tab w:val="left" w:pos="660"/>
          <w:tab w:val="right" w:leader="dot" w:pos="9350"/>
        </w:tabs>
        <w:rPr>
          <w:rFonts w:eastAsiaTheme="minorEastAsia"/>
          <w:noProof/>
        </w:rPr>
      </w:pPr>
      <w:hyperlink w:anchor="_Toc508877646" w:history="1">
        <w:r w:rsidRPr="000A1882">
          <w:rPr>
            <w:rStyle w:val="Hyperlink"/>
            <w:noProof/>
          </w:rPr>
          <w:t>C.</w:t>
        </w:r>
        <w:r>
          <w:rPr>
            <w:rFonts w:eastAsiaTheme="minorEastAsia"/>
            <w:noProof/>
          </w:rPr>
          <w:tab/>
        </w:r>
        <w:r w:rsidRPr="000A1882">
          <w:rPr>
            <w:rStyle w:val="Hyperlink"/>
            <w:noProof/>
          </w:rPr>
          <w:t>The importance of blockchain and smart contracts</w:t>
        </w:r>
        <w:r>
          <w:rPr>
            <w:noProof/>
            <w:webHidden/>
          </w:rPr>
          <w:tab/>
        </w:r>
        <w:r>
          <w:rPr>
            <w:noProof/>
            <w:webHidden/>
          </w:rPr>
          <w:fldChar w:fldCharType="begin"/>
        </w:r>
        <w:r>
          <w:rPr>
            <w:noProof/>
            <w:webHidden/>
          </w:rPr>
          <w:instrText xml:space="preserve"> PAGEREF _Toc508877646 \h </w:instrText>
        </w:r>
        <w:r>
          <w:rPr>
            <w:noProof/>
            <w:webHidden/>
          </w:rPr>
        </w:r>
        <w:r>
          <w:rPr>
            <w:noProof/>
            <w:webHidden/>
          </w:rPr>
          <w:fldChar w:fldCharType="separate"/>
        </w:r>
        <w:r>
          <w:rPr>
            <w:noProof/>
            <w:webHidden/>
          </w:rPr>
          <w:t>35</w:t>
        </w:r>
        <w:r>
          <w:rPr>
            <w:noProof/>
            <w:webHidden/>
          </w:rPr>
          <w:fldChar w:fldCharType="end"/>
        </w:r>
      </w:hyperlink>
    </w:p>
    <w:p w14:paraId="0277EE07" w14:textId="78558E73" w:rsidR="00485CB8" w:rsidRDefault="00485CB8">
      <w:pPr>
        <w:pStyle w:val="TOC1"/>
        <w:rPr>
          <w:rFonts w:eastAsiaTheme="minorEastAsia"/>
          <w:noProof/>
        </w:rPr>
      </w:pPr>
      <w:hyperlink w:anchor="_Toc508877647" w:history="1">
        <w:r w:rsidRPr="000A1882">
          <w:rPr>
            <w:rStyle w:val="Hyperlink"/>
            <w:noProof/>
          </w:rPr>
          <w:t>APPENDIX I: ADDRESSING HOLD-UP WITH OPTIONS CONTRACTS (NOLDEKE AND SCHMIDT 1995)</w:t>
        </w:r>
        <w:r>
          <w:rPr>
            <w:noProof/>
            <w:webHidden/>
          </w:rPr>
          <w:tab/>
        </w:r>
        <w:r>
          <w:rPr>
            <w:noProof/>
            <w:webHidden/>
          </w:rPr>
          <w:fldChar w:fldCharType="begin"/>
        </w:r>
        <w:r>
          <w:rPr>
            <w:noProof/>
            <w:webHidden/>
          </w:rPr>
          <w:instrText xml:space="preserve"> PAGEREF _Toc508877647 \h </w:instrText>
        </w:r>
        <w:r>
          <w:rPr>
            <w:noProof/>
            <w:webHidden/>
          </w:rPr>
        </w:r>
        <w:r>
          <w:rPr>
            <w:noProof/>
            <w:webHidden/>
          </w:rPr>
          <w:fldChar w:fldCharType="separate"/>
        </w:r>
        <w:r>
          <w:rPr>
            <w:noProof/>
            <w:webHidden/>
          </w:rPr>
          <w:t>37</w:t>
        </w:r>
        <w:r>
          <w:rPr>
            <w:noProof/>
            <w:webHidden/>
          </w:rPr>
          <w:fldChar w:fldCharType="end"/>
        </w:r>
      </w:hyperlink>
    </w:p>
    <w:p w14:paraId="4DF34035" w14:textId="04FD6CD7" w:rsidR="00485CB8" w:rsidRDefault="00485CB8">
      <w:pPr>
        <w:pStyle w:val="TOC1"/>
        <w:rPr>
          <w:rFonts w:eastAsiaTheme="minorEastAsia"/>
          <w:noProof/>
        </w:rPr>
      </w:pPr>
      <w:hyperlink w:anchor="_Toc508877648" w:history="1">
        <w:r w:rsidRPr="000A1882">
          <w:rPr>
            <w:rStyle w:val="Hyperlink"/>
            <w:noProof/>
          </w:rPr>
          <w:t>APPENDIX II: MOORE-REPULLO REVELATION MECHANISM.</w:t>
        </w:r>
        <w:r>
          <w:rPr>
            <w:noProof/>
            <w:webHidden/>
          </w:rPr>
          <w:tab/>
        </w:r>
        <w:r>
          <w:rPr>
            <w:noProof/>
            <w:webHidden/>
          </w:rPr>
          <w:fldChar w:fldCharType="begin"/>
        </w:r>
        <w:r>
          <w:rPr>
            <w:noProof/>
            <w:webHidden/>
          </w:rPr>
          <w:instrText xml:space="preserve"> PAGEREF _Toc508877648 \h </w:instrText>
        </w:r>
        <w:r>
          <w:rPr>
            <w:noProof/>
            <w:webHidden/>
          </w:rPr>
        </w:r>
        <w:r>
          <w:rPr>
            <w:noProof/>
            <w:webHidden/>
          </w:rPr>
          <w:fldChar w:fldCharType="separate"/>
        </w:r>
        <w:r>
          <w:rPr>
            <w:noProof/>
            <w:webHidden/>
          </w:rPr>
          <w:t>38</w:t>
        </w:r>
        <w:r>
          <w:rPr>
            <w:noProof/>
            <w:webHidden/>
          </w:rPr>
          <w:fldChar w:fldCharType="end"/>
        </w:r>
      </w:hyperlink>
    </w:p>
    <w:p w14:paraId="45A331D3" w14:textId="30E96E8B" w:rsidR="00FC0ADC" w:rsidRDefault="001A2631" w:rsidP="00577C20">
      <w:pPr>
        <w:spacing w:after="0"/>
        <w:rPr>
          <w:b/>
        </w:rPr>
      </w:pPr>
      <w:r>
        <w:fldChar w:fldCharType="end"/>
      </w:r>
      <w:r w:rsidR="00FC0ADC">
        <w:br w:type="page"/>
      </w:r>
    </w:p>
    <w:p w14:paraId="324EB6B3" w14:textId="6F70636D" w:rsidR="00FB248C" w:rsidRPr="00730212" w:rsidRDefault="003309CF" w:rsidP="00E4048E">
      <w:pPr>
        <w:pStyle w:val="Heading1"/>
        <w:numPr>
          <w:ilvl w:val="0"/>
          <w:numId w:val="3"/>
        </w:numPr>
      </w:pPr>
      <w:bookmarkStart w:id="0" w:name="_Toc508877626"/>
      <w:r w:rsidRPr="00730212">
        <w:lastRenderedPageBreak/>
        <w:t>INTRODUCTION</w:t>
      </w:r>
      <w:bookmarkEnd w:id="0"/>
    </w:p>
    <w:p w14:paraId="5CB12E9E" w14:textId="4AC5EA2C" w:rsidR="00B94155" w:rsidRDefault="00B94155" w:rsidP="00B94155">
      <w:r>
        <w:t>A fundamental problem in contract law is how to handle contract modifications.</w:t>
      </w:r>
      <w:bookmarkStart w:id="1" w:name="_Ref508808929"/>
      <w:r w:rsidR="00AB3614">
        <w:rPr>
          <w:rStyle w:val="FootnoteReference"/>
        </w:rPr>
        <w:footnoteReference w:id="2"/>
      </w:r>
      <w:bookmarkEnd w:id="1"/>
      <w:r>
        <w:t xml:space="preserve">  Two parties sign a contract to trade some good or service.  Before both sides have fully performed, the parties agree to modify the contract.  Should courts enforce the modified contract?  </w:t>
      </w:r>
    </w:p>
    <w:p w14:paraId="145654FE" w14:textId="5A2F64C4" w:rsidR="00B94155" w:rsidRDefault="00B94155" w:rsidP="00B94155">
      <w:r>
        <w:t>On the one hand, the parties may have encountered a change in the environment that made the original terms suboptimal.  For example, the cost of performance for the seller may have risen.  Unless the price is modified, the seller would prefer to breach. Perhaps the buyer offered more of her surplus from the original contract to encourage the seller to perform in the modified contract.</w:t>
      </w:r>
      <w:r w:rsidR="00EB29AA">
        <w:rPr>
          <w:rStyle w:val="FootnoteReference"/>
        </w:rPr>
        <w:footnoteReference w:id="3"/>
      </w:r>
      <w:r>
        <w:t xml:space="preserve">  In other words, the modified contract is the output of </w:t>
      </w:r>
      <w:proofErr w:type="spellStart"/>
      <w:r>
        <w:t>Coasian</w:t>
      </w:r>
      <w:proofErr w:type="spellEnd"/>
      <w:r>
        <w:t xml:space="preserve"> renegotiation that yields an efficient trade.   </w:t>
      </w:r>
    </w:p>
    <w:p w14:paraId="4F0755D6" w14:textId="73F78054" w:rsidR="00B94155" w:rsidRDefault="00B94155" w:rsidP="00B94155">
      <w:r>
        <w:t>On the other hand, the modification may be the result of a hold-up.</w:t>
      </w:r>
      <w:bookmarkStart w:id="2" w:name="_Ref507753680"/>
      <w:r w:rsidR="00AB3614">
        <w:rPr>
          <w:rStyle w:val="FootnoteReference"/>
        </w:rPr>
        <w:footnoteReference w:id="4"/>
      </w:r>
      <w:bookmarkEnd w:id="2"/>
      <w:r>
        <w:t xml:space="preserve">  For example, the buyer made a relationship-specific investment, i.e., an expenditure that is more valuable to the parties to the contract than to non-parties to the contract.</w:t>
      </w:r>
      <w:r w:rsidR="008F3D1B">
        <w:rPr>
          <w:rStyle w:val="FootnoteReference"/>
        </w:rPr>
        <w:footnoteReference w:id="5"/>
      </w:r>
      <w:r>
        <w:t xml:space="preserve">  In response, the seller threatens to breach unless the buyer agrees to a higher price.  The buyer agrees because the loss from redeploying the investment outside the relationship is greater than the loss from paying a higher price to the seller.</w:t>
      </w:r>
      <w:bookmarkStart w:id="3" w:name="_Ref508801813"/>
      <w:r w:rsidR="00AB3614">
        <w:rPr>
          <w:rStyle w:val="FootnoteReference"/>
        </w:rPr>
        <w:footnoteReference w:id="6"/>
      </w:r>
      <w:bookmarkEnd w:id="3"/>
      <w:r>
        <w:t xml:space="preserve">  The harm is that hold-up discourages parties from making efficient relationship-specific investments that improve the gains from trade.</w:t>
      </w:r>
      <w:bookmarkStart w:id="4" w:name="_Ref508805494"/>
      <w:r w:rsidR="00AB3614">
        <w:rPr>
          <w:rStyle w:val="FootnoteReference"/>
        </w:rPr>
        <w:footnoteReference w:id="7"/>
      </w:r>
      <w:bookmarkEnd w:id="4"/>
    </w:p>
    <w:p w14:paraId="6774CA1B" w14:textId="07BCD714" w:rsidR="00B94155" w:rsidRDefault="00B94155" w:rsidP="00B94155">
      <w:r>
        <w:t>Ideally, courts want to enforce modifications in the first scenario, but not the second.  The central challenge of contract modification is distinguishing between these situations.</w:t>
      </w:r>
      <w:r w:rsidR="00AB3614">
        <w:rPr>
          <w:rStyle w:val="FootnoteReference"/>
        </w:rPr>
        <w:footnoteReference w:id="8"/>
      </w:r>
      <w:r>
        <w:t xml:space="preserve"> </w:t>
      </w:r>
    </w:p>
    <w:p w14:paraId="067A6613" w14:textId="6C632E8F" w:rsidR="00B94155" w:rsidRDefault="00B94155" w:rsidP="00B94155">
      <w:r>
        <w:lastRenderedPageBreak/>
        <w:t>One approach – which might be called a public solution – is for courts to look for evidence of changed circumstances or for modifications made under duress or improper threats.</w:t>
      </w:r>
      <w:r w:rsidR="00AB3614">
        <w:rPr>
          <w:rStyle w:val="FootnoteReference"/>
        </w:rPr>
        <w:footnoteReference w:id="9"/>
      </w:r>
      <w:r>
        <w:t xml:space="preserve">  In the former case, they enforce the modification, in the latter case they do not.  The hurdle to implementing this solution is what economists call </w:t>
      </w:r>
      <w:proofErr w:type="spellStart"/>
      <w:r>
        <w:t>nonverifiability</w:t>
      </w:r>
      <w:proofErr w:type="spellEnd"/>
      <w:r>
        <w:t>: parties do not have the ability to prove to courts changed circumstances or hold-up only when there in fact are changed circumstances or hold-up, respectively.</w:t>
      </w:r>
      <w:bookmarkStart w:id="5" w:name="_Ref507668576"/>
      <w:r w:rsidR="00AB3614">
        <w:rPr>
          <w:rStyle w:val="FootnoteReference"/>
        </w:rPr>
        <w:footnoteReference w:id="10"/>
      </w:r>
      <w:bookmarkEnd w:id="5"/>
    </w:p>
    <w:p w14:paraId="20AA8879" w14:textId="32902419" w:rsidR="00B94155" w:rsidRDefault="00B94155" w:rsidP="00B94155">
      <w:r>
        <w:t xml:space="preserve">To illustrate, consider the classic case of </w:t>
      </w:r>
      <w:r w:rsidRPr="00625C32">
        <w:rPr>
          <w:i/>
        </w:rPr>
        <w:t>Alaska Packers Association v. D</w:t>
      </w:r>
      <w:r w:rsidR="00950A42">
        <w:rPr>
          <w:i/>
        </w:rPr>
        <w:t>o</w:t>
      </w:r>
      <w:r w:rsidRPr="00625C32">
        <w:rPr>
          <w:i/>
        </w:rPr>
        <w:t>menico</w:t>
      </w:r>
      <w:r w:rsidRPr="00625C32">
        <w:t xml:space="preserve"> (</w:t>
      </w:r>
      <w:r w:rsidRPr="00745700">
        <w:t>1901)</w:t>
      </w:r>
      <w:r w:rsidRPr="00FD3735">
        <w:t>.</w:t>
      </w:r>
      <w:r w:rsidRPr="00FD3735">
        <w:rPr>
          <w:rStyle w:val="FootnoteReference"/>
        </w:rPr>
        <w:footnoteReference w:id="11"/>
      </w:r>
      <w:r>
        <w:t xml:space="preserve">  Alaska Packers Association (APA) hired some fishermen in San Francisco to fish for salmon in Alaska and deliver the fish to Pyramid Harbor, Alaska, where the APA operated a cannery.  The original contract paid each fisherman $50 for the season plus two cents for each salmon caught.  Once the APA had sailed the fishermen to Alaska, however, the latter refused to fish unless their pay was increased to $100 for the season plus two cents for each salmon.</w:t>
      </w:r>
      <w:r w:rsidR="00AB3614">
        <w:rPr>
          <w:rStyle w:val="FootnoteReference"/>
        </w:rPr>
        <w:footnoteReference w:id="12"/>
      </w:r>
      <w:r>
        <w:t xml:space="preserve">  Is this a case of changed circumstances or of hold-up?</w:t>
      </w:r>
    </w:p>
    <w:p w14:paraId="49424BD2" w14:textId="6009F1FF" w:rsidR="00B94155" w:rsidRDefault="00B94155" w:rsidP="00B94155">
      <w:r>
        <w:t>The district court held for the fishermen.  In its view, the APA agreed to the modification; if they were under duress they would not have done so.</w:t>
      </w:r>
      <w:r w:rsidR="00AB3614">
        <w:rPr>
          <w:rStyle w:val="FootnoteReference"/>
        </w:rPr>
        <w:footnoteReference w:id="13"/>
      </w:r>
      <w:r>
        <w:t xml:space="preserve">  The Ninth Circuit help for the AP.  In its view, there was no consideration for the modification; so this was likely a case of duress.</w:t>
      </w:r>
      <w:r w:rsidR="00AB3614">
        <w:rPr>
          <w:rStyle w:val="FootnoteReference"/>
        </w:rPr>
        <w:footnoteReference w:id="14"/>
      </w:r>
      <w:r>
        <w:t xml:space="preserve">  One hint at the problem of verifiability is that the two courts disagreed.  Another is </w:t>
      </w:r>
      <w:r w:rsidR="00A84FBF">
        <w:t xml:space="preserve">that </w:t>
      </w:r>
      <w:r>
        <w:t xml:space="preserve">Professor </w:t>
      </w:r>
      <w:proofErr w:type="spellStart"/>
      <w:r>
        <w:t>Threedy’s</w:t>
      </w:r>
      <w:proofErr w:type="spellEnd"/>
      <w:r>
        <w:t xml:space="preserve"> research has demonstrated that the courts did not fully understand the facts of the case.</w:t>
      </w:r>
      <w:bookmarkStart w:id="6" w:name="_Ref508724226"/>
      <w:r w:rsidR="00AB3614">
        <w:rPr>
          <w:rStyle w:val="FootnoteReference"/>
        </w:rPr>
        <w:footnoteReference w:id="15"/>
      </w:r>
      <w:bookmarkEnd w:id="6"/>
      <w:r>
        <w:t xml:space="preserve">  Worse, some of those facts pointed towards changed circumstances</w:t>
      </w:r>
      <w:r w:rsidR="00AB3614">
        <w:rPr>
          <w:rStyle w:val="FootnoteReference"/>
        </w:rPr>
        <w:footnoteReference w:id="16"/>
      </w:r>
      <w:r>
        <w:t xml:space="preserve"> and others pointed towards hold-up.</w:t>
      </w:r>
      <w:bookmarkStart w:id="7" w:name="_Ref508875149"/>
      <w:r w:rsidR="00AB3614">
        <w:rPr>
          <w:rStyle w:val="FootnoteReference"/>
        </w:rPr>
        <w:footnoteReference w:id="17"/>
      </w:r>
      <w:bookmarkEnd w:id="7"/>
      <w:r>
        <w:t xml:space="preserve">  In short, it is </w:t>
      </w:r>
      <w:r>
        <w:lastRenderedPageBreak/>
        <w:t xml:space="preserve">likely that courts will often make mistakes about whether a modification is efficient and should be enforceable.  These mistakes will likely make contracts either too inflexible or discourage relationship-specific investment, such as the APA’s decision to pay to transport fishermen to Alaska.  </w:t>
      </w:r>
    </w:p>
    <w:p w14:paraId="0F63842B" w14:textId="05875DB3" w:rsidR="00B94155" w:rsidRDefault="00B94155" w:rsidP="00B94155">
      <w:r>
        <w:t>An alternative approach – which might be called a private solution – is for the parties to write better contracts.  One example is a contract that is completely state-contingent: it anticipates and prescribes terms of trade under all possible changed circumstances.</w:t>
      </w:r>
      <w:r w:rsidR="00AB3614">
        <w:rPr>
          <w:rStyle w:val="FootnoteReference"/>
        </w:rPr>
        <w:footnoteReference w:id="18"/>
      </w:r>
      <w:r>
        <w:t xml:space="preserve">  The challenge with this approach is that it complete contracts are costly to write and courts may not be able to enforce them because, again, the changed circumstances are not verifiable to courts.</w:t>
      </w:r>
      <w:r w:rsidR="00AB3614">
        <w:rPr>
          <w:rStyle w:val="FootnoteReference"/>
        </w:rPr>
        <w:footnoteReference w:id="19"/>
      </w:r>
      <w:r>
        <w:t xml:space="preserve">  </w:t>
      </w:r>
    </w:p>
    <w:p w14:paraId="77D22708" w14:textId="352248E9" w:rsidR="00B94155" w:rsidRDefault="00B94155" w:rsidP="00B94155">
      <w:r>
        <w:t>Another example of a better contract is one that includes contract provisions that either encourage relationship-specific investment even in the presence of hold-up</w:t>
      </w:r>
      <w:r w:rsidR="00AB3614">
        <w:rPr>
          <w:rStyle w:val="FootnoteReference"/>
        </w:rPr>
        <w:footnoteReference w:id="20"/>
      </w:r>
      <w:r>
        <w:t xml:space="preserve"> or incentivizes parties not to lie about changed circumstances.</w:t>
      </w:r>
      <w:r w:rsidR="00AB3614">
        <w:rPr>
          <w:rStyle w:val="FootnoteReference"/>
        </w:rPr>
        <w:footnoteReference w:id="21"/>
      </w:r>
      <w:r>
        <w:t xml:space="preserve">  Economists call the former provisions a “renegotiation design mechanism” and the latter provisions a “revelation mechanisms.”</w:t>
      </w:r>
      <w:r w:rsidR="00AB3614">
        <w:rPr>
          <w:rStyle w:val="FootnoteReference"/>
        </w:rPr>
        <w:footnoteReference w:id="22"/>
      </w:r>
      <w:r>
        <w:t xml:space="preserve">  The challenge with these mechanisms is that they require that the parties be able to commit to the rules prescribed by those mechanisms.</w:t>
      </w:r>
      <w:r w:rsidR="00AB3614">
        <w:rPr>
          <w:rStyle w:val="FootnoteReference"/>
        </w:rPr>
        <w:footnoteReference w:id="23"/>
      </w:r>
      <w:r>
        <w:t xml:space="preserve">  If either party refused to comply with those rules, the mechanisms would fail.  </w:t>
      </w:r>
    </w:p>
    <w:p w14:paraId="54304DB3" w14:textId="5068A3D4" w:rsidR="00B94155" w:rsidRDefault="00B94155" w:rsidP="00B94155">
      <w:r>
        <w:t>There are conventional contractual tools that parties could employ to provide commitment.  For example, parties can include liquidated damages clauses if either party fails to follow the rules set forth under one or the other mechanism.  Unfortunately, parties often have an incentive to renegotiate liquidated damages clauses after they are triggered, so they are never enforced.</w:t>
      </w:r>
      <w:r w:rsidR="00AB3614">
        <w:rPr>
          <w:rStyle w:val="FootnoteReference"/>
        </w:rPr>
        <w:footnoteReference w:id="24"/>
      </w:r>
      <w:r>
        <w:t xml:space="preserve">  Other times, courts do no</w:t>
      </w:r>
      <w:r w:rsidR="00053FB6">
        <w:t>t</w:t>
      </w:r>
      <w:r>
        <w:t xml:space="preserve"> enforce liquidated damages clauses that are in excess of the economic damages, so called penalty clauses, even though it is exactly such clauses that best encourage compliance.</w:t>
      </w:r>
      <w:r w:rsidR="00AB3614">
        <w:rPr>
          <w:rStyle w:val="FootnoteReference"/>
        </w:rPr>
        <w:footnoteReference w:id="25"/>
      </w:r>
      <w:r>
        <w:t xml:space="preserve">  </w:t>
      </w:r>
    </w:p>
    <w:p w14:paraId="5C21A62A" w14:textId="7F53E4EA" w:rsidR="00B94155" w:rsidRDefault="00B94155" w:rsidP="00B94155">
      <w:r>
        <w:lastRenderedPageBreak/>
        <w:t>Recently there have emerged two new technologies, blockchain and smart contracts, that might make it easier for parties to commit to renegotiation design and revelation mechanisms.  One contribution of our paper is to explain the economic and legal relevance of these two technologies.</w:t>
      </w:r>
    </w:p>
    <w:p w14:paraId="11F086CE" w14:textId="1F0CFF5A" w:rsidR="00B94155" w:rsidRDefault="00B94155" w:rsidP="00B94155">
      <w:r>
        <w:t>Blockchain is a computer science innovation that enables the creation of a distributed, open and unalterable ledgers.  What that means is that a transaction on a computer network with blockchain infrastructure, also called a blockchain network, is witnessed by others on the network (</w:t>
      </w:r>
      <w:r w:rsidR="000B0A44">
        <w:t>decentralized</w:t>
      </w:r>
      <w:r>
        <w:t xml:space="preserve">), is made public to everyone on the network (open), and cannot be changed without a tremendous amount of computing power or cost (unalterable).  </w:t>
      </w:r>
    </w:p>
    <w:p w14:paraId="537055BE" w14:textId="50ACF56A" w:rsidR="00B94155" w:rsidRDefault="00B94155" w:rsidP="00B94155">
      <w:r>
        <w:t xml:space="preserve">Smart contracts are computer scripts that execute transactions, including transactions that constitute mutual promises between contracting parties, now and in the future.  When created on blockchain, the future transactions envisioned in the smart contract are automatically executed and, because of the inalterability of the blockchain, cannot practically be stopped.  </w:t>
      </w:r>
    </w:p>
    <w:p w14:paraId="179629C0" w14:textId="35AFEDA4" w:rsidR="00B94155" w:rsidRDefault="00B94155" w:rsidP="00B94155">
      <w:r>
        <w:t xml:space="preserve">Our central claim is that, by virtue of these features, smart contracts on blockchain are able to impose liquidated damages that cannot be renegotiated, or enjoined or reversed by courts.  As such they allow parties to more credibly and robustly commit to contracts, including renegotiation design mechanisms that protect investments against </w:t>
      </w:r>
      <w:r w:rsidR="00485CB8">
        <w:t>hold-up</w:t>
      </w:r>
      <w:r>
        <w:t xml:space="preserve"> or revelation mechanisms that help courts verify changed circumstances.  </w:t>
      </w:r>
    </w:p>
    <w:p w14:paraId="76CC686A" w14:textId="5E855081" w:rsidR="00B94155" w:rsidRDefault="00B94155" w:rsidP="00B94155">
      <w:r>
        <w:t xml:space="preserve">Smart contracts on blockchain are </w:t>
      </w:r>
      <w:r w:rsidRPr="00745700">
        <w:t xml:space="preserve">not guaranteed to work, but we think </w:t>
      </w:r>
      <w:r>
        <w:t xml:space="preserve">they are </w:t>
      </w:r>
      <w:r w:rsidRPr="00745700">
        <w:t>a significant improvement over the status quo</w:t>
      </w:r>
      <w:r>
        <w:t xml:space="preserve"> contracting technologies</w:t>
      </w:r>
      <w:r w:rsidRPr="00745700">
        <w:t>.</w:t>
      </w:r>
      <w:r>
        <w:t xml:space="preserve">  The biggest obstacle to blockchain solutions is the government.  It is possible courts or Congress would ban smart contracts and/or blockchain.  But we believe blockchain has enough value, especially to the financial services sector, that collateral costs will deter the government from banning our solution.  The government could ban specific uses of smart contracts and blockchain, e.g., stopping automation of future promises or certain contract penalty provisions.  But this is unlikely as both parties to a contract want these terms ex ante.  It is only ex post that one party does not prefer them.  As with liquidated damages, we think the risk of court intervention is limited to cases of bargaining-power imbalance.  Finally, our solution cannot overcome the so-called common knowledge problem that limits the power of renegotiation mechanisms to prevent </w:t>
      </w:r>
      <w:r w:rsidR="00485CB8">
        <w:t>hold-up</w:t>
      </w:r>
      <w:r>
        <w:t xml:space="preserve">.  To be sure, neither can </w:t>
      </w:r>
      <w:proofErr w:type="gramStart"/>
      <w:r>
        <w:t>existing</w:t>
      </w:r>
      <w:proofErr w:type="gramEnd"/>
      <w:r>
        <w:t xml:space="preserve"> contracting techniques.  However, blockchain, by making all transactions open, may be able to reduce the severity of the common knowledge problem to some extent.</w:t>
      </w:r>
    </w:p>
    <w:p w14:paraId="17424577" w14:textId="1073A50A" w:rsidR="00B94155" w:rsidRDefault="00B94155" w:rsidP="00B94155">
      <w:r>
        <w:t xml:space="preserve">Section </w:t>
      </w:r>
      <w:r w:rsidR="002E0E6B">
        <w:fldChar w:fldCharType="begin"/>
      </w:r>
      <w:r w:rsidR="002E0E6B">
        <w:instrText xml:space="preserve"> REF _Ref508808300 \r \h </w:instrText>
      </w:r>
      <w:r w:rsidR="002E0E6B">
        <w:fldChar w:fldCharType="separate"/>
      </w:r>
      <w:r w:rsidR="002E0E6B">
        <w:t>II</w:t>
      </w:r>
      <w:r w:rsidR="002E0E6B">
        <w:fldChar w:fldCharType="end"/>
      </w:r>
      <w:r w:rsidR="002E0E6B">
        <w:t xml:space="preserve"> </w:t>
      </w:r>
      <w:r>
        <w:t xml:space="preserve">provides examples </w:t>
      </w:r>
      <w:r w:rsidR="00AB3614">
        <w:t xml:space="preserve">of hold-up problems </w:t>
      </w:r>
      <w:r>
        <w:t>from case</w:t>
      </w:r>
      <w:r w:rsidR="00AB3614">
        <w:t xml:space="preserve"> </w:t>
      </w:r>
      <w:r>
        <w:t xml:space="preserve">law and </w:t>
      </w:r>
      <w:r w:rsidR="00AB3614">
        <w:t xml:space="preserve">explains </w:t>
      </w:r>
      <w:r>
        <w:t xml:space="preserve">the economics of the hold-up problem, </w:t>
      </w:r>
      <w:r w:rsidR="00AB3614">
        <w:t xml:space="preserve">demonstrates how </w:t>
      </w:r>
      <w:r>
        <w:t>renegotiation design and revelation mechanisms</w:t>
      </w:r>
      <w:r w:rsidR="00AB3614">
        <w:t xml:space="preserve"> work</w:t>
      </w:r>
      <w:r>
        <w:t xml:space="preserve">, and </w:t>
      </w:r>
      <w:r w:rsidR="00AB3614">
        <w:t xml:space="preserve">discusses </w:t>
      </w:r>
      <w:r>
        <w:t xml:space="preserve">the information hurdles to implementing these mechanisms to tackle the contact modification problem.  Section </w:t>
      </w:r>
      <w:r w:rsidR="002E0E6B">
        <w:fldChar w:fldCharType="begin"/>
      </w:r>
      <w:r w:rsidR="002E0E6B">
        <w:instrText xml:space="preserve"> REF _Ref508808310 \r \h </w:instrText>
      </w:r>
      <w:r w:rsidR="002E0E6B">
        <w:fldChar w:fldCharType="separate"/>
      </w:r>
      <w:r w:rsidR="002E0E6B">
        <w:t>III</w:t>
      </w:r>
      <w:r w:rsidR="002E0E6B">
        <w:fldChar w:fldCharType="end"/>
      </w:r>
      <w:r>
        <w:t xml:space="preserve"> explores how courts have attempted to tackle the problem of contact modification </w:t>
      </w:r>
      <w:r w:rsidR="002E0E6B">
        <w:t xml:space="preserve">and </w:t>
      </w:r>
      <w:r>
        <w:t xml:space="preserve">pre-blockchain private remedies </w:t>
      </w:r>
      <w:r w:rsidR="002E0E6B">
        <w:t xml:space="preserve">that </w:t>
      </w:r>
      <w:r>
        <w:t xml:space="preserve">might be </w:t>
      </w:r>
      <w:r w:rsidR="002E0E6B">
        <w:t xml:space="preserve">reduce the </w:t>
      </w:r>
      <w:r>
        <w:t xml:space="preserve">hold-up problem, as well the limits of both these tactics.  Section </w:t>
      </w:r>
      <w:r w:rsidR="002E0E6B">
        <w:fldChar w:fldCharType="begin"/>
      </w:r>
      <w:r w:rsidR="002E0E6B">
        <w:instrText xml:space="preserve"> REF _Ref494633671 \r \h </w:instrText>
      </w:r>
      <w:r w:rsidR="002E0E6B">
        <w:fldChar w:fldCharType="separate"/>
      </w:r>
      <w:r w:rsidR="002E0E6B">
        <w:t>IV</w:t>
      </w:r>
      <w:r w:rsidR="002E0E6B">
        <w:fldChar w:fldCharType="end"/>
      </w:r>
      <w:r w:rsidR="002E0E6B">
        <w:t xml:space="preserve"> </w:t>
      </w:r>
      <w:r>
        <w:t xml:space="preserve">summarizes the general economic innovation from and legal relevance of blockchain and smart contracts.  Section </w:t>
      </w:r>
      <w:r w:rsidR="002E0E6B">
        <w:fldChar w:fldCharType="begin"/>
      </w:r>
      <w:r w:rsidR="002E0E6B">
        <w:instrText xml:space="preserve"> REF _Ref494438608 \r \h </w:instrText>
      </w:r>
      <w:r w:rsidR="002E0E6B">
        <w:fldChar w:fldCharType="separate"/>
      </w:r>
      <w:r w:rsidR="002E0E6B">
        <w:t>V</w:t>
      </w:r>
      <w:r w:rsidR="002E0E6B">
        <w:fldChar w:fldCharType="end"/>
      </w:r>
      <w:r>
        <w:t xml:space="preserve"> shows how smart contracts on blockchain can help reduce </w:t>
      </w:r>
      <w:r w:rsidR="00485CB8">
        <w:t>hold-up</w:t>
      </w:r>
      <w:r>
        <w:t xml:space="preserve"> </w:t>
      </w:r>
      <w:r w:rsidR="001A2631">
        <w:t xml:space="preserve">or verify changed circumstances </w:t>
      </w:r>
      <w:r>
        <w:t xml:space="preserve">better than existing </w:t>
      </w:r>
      <w:r w:rsidR="001A2631">
        <w:t>doctrinal or contractual approaches</w:t>
      </w:r>
      <w:r>
        <w:t xml:space="preserve">.  </w:t>
      </w:r>
      <w:r w:rsidR="002E0E6B">
        <w:t xml:space="preserve">The section also </w:t>
      </w:r>
      <w:r>
        <w:t xml:space="preserve">examines some of the limitations of smart contracts on blockchain.  The conclusion makes predictions about the implications of our argument for the size of firms and output.  It also speculates about the benefits of smart contracts and blockchain for contract law more generally. </w:t>
      </w:r>
    </w:p>
    <w:p w14:paraId="591F9E10" w14:textId="107C47EC" w:rsidR="003309CF" w:rsidRDefault="003309CF"/>
    <w:p w14:paraId="2CFFC486" w14:textId="093D1C76" w:rsidR="00E4048E" w:rsidRDefault="00E4048E" w:rsidP="00E4048E">
      <w:pPr>
        <w:pStyle w:val="Heading1"/>
        <w:numPr>
          <w:ilvl w:val="0"/>
          <w:numId w:val="3"/>
        </w:numPr>
      </w:pPr>
      <w:bookmarkStart w:id="8" w:name="_Ref494294561"/>
      <w:bookmarkStart w:id="9" w:name="_Ref508808300"/>
      <w:bookmarkStart w:id="10" w:name="_Toc508877627"/>
      <w:r>
        <w:t>THE HOLD-UP PROBLEM</w:t>
      </w:r>
      <w:r w:rsidR="008A0F9D">
        <w:t>, ITS IMPACT</w:t>
      </w:r>
      <w:r w:rsidR="001A2631">
        <w:t xml:space="preserve"> AND </w:t>
      </w:r>
      <w:r>
        <w:t>MECHANISM</w:t>
      </w:r>
      <w:bookmarkEnd w:id="8"/>
      <w:r w:rsidR="001A2631">
        <w:t xml:space="preserve"> DESIGN</w:t>
      </w:r>
      <w:bookmarkEnd w:id="9"/>
      <w:bookmarkEnd w:id="10"/>
    </w:p>
    <w:p w14:paraId="29175C5D" w14:textId="716637F8" w:rsidR="000C2C99" w:rsidRDefault="000C2C99" w:rsidP="00E4048E">
      <w:r>
        <w:t>The hold-up problem is what makes the enforceability of contract modification a difficult question for courts.  Without hold-up, modifications would simply reflect changed circumstances and efficient renegotiation.  Courts could simply enforce all modifications.  With the possibility of hold-up, modifications may be inefficient.  As a result</w:t>
      </w:r>
      <w:r w:rsidR="00155C53">
        <w:t>,</w:t>
      </w:r>
      <w:r>
        <w:t xml:space="preserve"> it is critical that courts or the parties be able to rule out or minimize the impact of modifications that are the result of </w:t>
      </w:r>
      <w:r w:rsidR="00485CB8">
        <w:t>hold-up</w:t>
      </w:r>
      <w:r>
        <w:t>.  Given the centrality of hold-up to the challenge of contract modification, this section elaborates on its prevalence</w:t>
      </w:r>
      <w:r w:rsidR="008A0F9D">
        <w:t xml:space="preserve">, </w:t>
      </w:r>
      <w:r>
        <w:t>its impact</w:t>
      </w:r>
      <w:r w:rsidR="008A0F9D">
        <w:t xml:space="preserve"> and contractual mechanisms designed to address it</w:t>
      </w:r>
      <w:r>
        <w:t>.</w:t>
      </w:r>
    </w:p>
    <w:p w14:paraId="1525DE72" w14:textId="595ED6CE" w:rsidR="00D020D9" w:rsidRPr="009520AF" w:rsidRDefault="00B97DDA" w:rsidP="00155C53">
      <w:pPr>
        <w:pStyle w:val="Heading2"/>
      </w:pPr>
      <w:bookmarkStart w:id="11" w:name="_Toc508877628"/>
      <w:r>
        <w:t>Examples of hold-up</w:t>
      </w:r>
      <w:bookmarkEnd w:id="11"/>
    </w:p>
    <w:p w14:paraId="10D0475B" w14:textId="547BBC05" w:rsidR="00155C53" w:rsidRDefault="008A0F9D" w:rsidP="008A0F9D">
      <w:r w:rsidRPr="00E23B96">
        <w:rPr>
          <w:i/>
        </w:rPr>
        <w:t>Alaska Packers</w:t>
      </w:r>
      <w:r>
        <w:t xml:space="preserve"> is a classic – though perhaps </w:t>
      </w:r>
      <w:r w:rsidR="00E23B96">
        <w:t>debated</w:t>
      </w:r>
      <w:r w:rsidR="00155C53">
        <w:rPr>
          <w:rStyle w:val="FootnoteReference"/>
        </w:rPr>
        <w:footnoteReference w:id="26"/>
      </w:r>
      <w:r>
        <w:t xml:space="preserve"> – example of </w:t>
      </w:r>
      <w:r w:rsidR="00485CB8">
        <w:t>hold-up</w:t>
      </w:r>
      <w:r>
        <w:t xml:space="preserve"> in the law. </w:t>
      </w:r>
      <w:r w:rsidR="00155C53">
        <w:t xml:space="preserve"> But it is not alone.  Here are a few </w:t>
      </w:r>
      <w:r w:rsidR="00E23B96">
        <w:t xml:space="preserve">notable </w:t>
      </w:r>
      <w:r w:rsidR="00155C53">
        <w:t>examples from case law across the years:</w:t>
      </w:r>
    </w:p>
    <w:p w14:paraId="1F4A155E" w14:textId="11F877FF" w:rsidR="00155C53" w:rsidRDefault="00155C53" w:rsidP="00E23B96">
      <w:pPr>
        <w:pStyle w:val="ListBullet"/>
      </w:pPr>
      <w:r w:rsidRPr="006968D7">
        <w:rPr>
          <w:i/>
        </w:rPr>
        <w:t xml:space="preserve">Beckwith v. </w:t>
      </w:r>
      <w:proofErr w:type="spellStart"/>
      <w:r w:rsidRPr="006968D7">
        <w:rPr>
          <w:i/>
        </w:rPr>
        <w:t>Frisbie</w:t>
      </w:r>
      <w:proofErr w:type="spellEnd"/>
      <w:r w:rsidRPr="000B0DB3">
        <w:t xml:space="preserve">, </w:t>
      </w:r>
      <w:r w:rsidR="00072668" w:rsidRPr="000B0DB3">
        <w:rPr>
          <w:rFonts w:cstheme="minorHAnsi"/>
          <w:iCs/>
        </w:rPr>
        <w:t>32 Vt. 559 (1859</w:t>
      </w:r>
      <w:r w:rsidR="00270536" w:rsidRPr="000B0DB3">
        <w:rPr>
          <w:rFonts w:cstheme="minorHAnsi"/>
          <w:iCs/>
        </w:rPr>
        <w:t>)</w:t>
      </w:r>
      <w:r w:rsidR="00E23B96" w:rsidRPr="000B0DB3">
        <w:rPr>
          <w:rFonts w:cstheme="minorHAnsi"/>
          <w:iCs/>
        </w:rPr>
        <w:t>:</w:t>
      </w:r>
      <w:r w:rsidR="00270536" w:rsidRPr="000B0DB3">
        <w:rPr>
          <w:rFonts w:cstheme="minorHAnsi"/>
          <w:iCs/>
        </w:rPr>
        <w:t xml:space="preserve"> </w:t>
      </w:r>
      <w:proofErr w:type="spellStart"/>
      <w:r w:rsidR="00072668" w:rsidRPr="000B0DB3">
        <w:rPr>
          <w:rFonts w:cstheme="minorHAnsi"/>
          <w:iCs/>
        </w:rPr>
        <w:t>Frisbie</w:t>
      </w:r>
      <w:proofErr w:type="spellEnd"/>
      <w:r w:rsidR="00072668" w:rsidRPr="000B0DB3">
        <w:rPr>
          <w:rFonts w:cstheme="minorHAnsi"/>
          <w:iCs/>
        </w:rPr>
        <w:t xml:space="preserve">, </w:t>
      </w:r>
      <w:r w:rsidRPr="000B0DB3">
        <w:t xml:space="preserve">a canal boat owner agreed to transport oats </w:t>
      </w:r>
      <w:r w:rsidR="00072668" w:rsidRPr="000B0DB3">
        <w:t xml:space="preserve">for Beckwith, who wanted to sell the oats at market.  </w:t>
      </w:r>
      <w:proofErr w:type="spellStart"/>
      <w:r w:rsidR="00072668" w:rsidRPr="000B0DB3">
        <w:t>Frisbie</w:t>
      </w:r>
      <w:proofErr w:type="spellEnd"/>
      <w:r w:rsidR="00072668" w:rsidRPr="000B0DB3">
        <w:t xml:space="preserve"> </w:t>
      </w:r>
      <w:r w:rsidRPr="000B0DB3">
        <w:t xml:space="preserve">refused to release the oats until </w:t>
      </w:r>
      <w:r w:rsidR="00072668" w:rsidRPr="000B0DB3">
        <w:t xml:space="preserve">Beckwith </w:t>
      </w:r>
      <w:r w:rsidRPr="000B0DB3">
        <w:t xml:space="preserve">agreed to pay a higher price for transport.  </w:t>
      </w:r>
      <w:r w:rsidR="00072668" w:rsidRPr="000B0DB3">
        <w:t xml:space="preserve">Beckwith </w:t>
      </w:r>
      <w:r w:rsidRPr="000B0DB3">
        <w:t xml:space="preserve">agreed because the price of oats was declining and further delay would have cost him lost profits.  </w:t>
      </w:r>
    </w:p>
    <w:p w14:paraId="04202F9B" w14:textId="11D0E5AD" w:rsidR="00EF3456" w:rsidRDefault="00EF3456" w:rsidP="00EF3456">
      <w:pPr>
        <w:pStyle w:val="ListBullet"/>
      </w:pPr>
      <w:proofErr w:type="spellStart"/>
      <w:r w:rsidRPr="00EF3456">
        <w:rPr>
          <w:i/>
        </w:rPr>
        <w:t>Lingenfelder</w:t>
      </w:r>
      <w:proofErr w:type="spellEnd"/>
      <w:r w:rsidRPr="00EF3456">
        <w:rPr>
          <w:i/>
        </w:rPr>
        <w:t xml:space="preserve"> v. Wainwright Brewing Co</w:t>
      </w:r>
      <w:r w:rsidRPr="00EF3456">
        <w:t>., 103 Mo. 578, 15 S.W. 844 (1891)</w:t>
      </w:r>
      <w:r>
        <w:t xml:space="preserve">: </w:t>
      </w:r>
      <w:r w:rsidR="00D03CAE">
        <w:t xml:space="preserve">architect hired by Wainwright Brewing to build a brewery took away his plans when he found out Wainwright Brewing had hired a competitor for another project, a refrigerating plant, until Wainwright Brewing agreed to pay the architect a commission on the refrigerating plant as well.  </w:t>
      </w:r>
    </w:p>
    <w:p w14:paraId="78E2A9C9" w14:textId="3D173A09" w:rsidR="00EF3456" w:rsidRPr="000B0DB3" w:rsidRDefault="00EF3456" w:rsidP="00EF3456">
      <w:pPr>
        <w:pStyle w:val="ListBullet"/>
      </w:pPr>
      <w:proofErr w:type="spellStart"/>
      <w:r w:rsidRPr="00EF3456">
        <w:rPr>
          <w:i/>
        </w:rPr>
        <w:t>Rexite</w:t>
      </w:r>
      <w:proofErr w:type="spellEnd"/>
      <w:r w:rsidRPr="00EF3456">
        <w:rPr>
          <w:i/>
        </w:rPr>
        <w:t xml:space="preserve"> Casting Co. v. Midwest Mower Corp.</w:t>
      </w:r>
      <w:r w:rsidRPr="00EF3456">
        <w:t>, 267 S.W.2d 327 (Mo. Ct. App. 1954</w:t>
      </w:r>
      <w:r>
        <w:t xml:space="preserve">): </w:t>
      </w:r>
      <w:proofErr w:type="spellStart"/>
      <w:r>
        <w:t>Rexite</w:t>
      </w:r>
      <w:proofErr w:type="spellEnd"/>
      <w:r>
        <w:t xml:space="preserve"> Casting, agreed to supply castings for Midwest Mower, a manufacturer of </w:t>
      </w:r>
      <w:proofErr w:type="spellStart"/>
      <w:r>
        <w:t>law</w:t>
      </w:r>
      <w:proofErr w:type="spellEnd"/>
      <w:r>
        <w:t xml:space="preserve"> mowers.  Mid-way through performance, </w:t>
      </w:r>
      <w:proofErr w:type="spellStart"/>
      <w:r>
        <w:t>Rexite</w:t>
      </w:r>
      <w:proofErr w:type="spellEnd"/>
      <w:r>
        <w:t xml:space="preserve"> demanded a higher price or else it would not supply any more castings.  Because it would be unable to find an alternate supplier for months and it had a substantial number of orders for mowers due, Midwest Mower acquiesced. </w:t>
      </w:r>
    </w:p>
    <w:p w14:paraId="3ACD8E27" w14:textId="09BC6652" w:rsidR="00270536" w:rsidRPr="000B0DB3" w:rsidRDefault="00270536" w:rsidP="00E23B96">
      <w:pPr>
        <w:pStyle w:val="ListBullet"/>
      </w:pPr>
      <w:r w:rsidRPr="000B0DB3">
        <w:rPr>
          <w:i/>
        </w:rPr>
        <w:t>Capps v. Georgia Pacific</w:t>
      </w:r>
      <w:r w:rsidR="00072668" w:rsidRPr="000B0DB3">
        <w:t xml:space="preserve">, </w:t>
      </w:r>
      <w:r w:rsidRPr="000B0DB3">
        <w:t xml:space="preserve">253 Or. 248, 453 P.2d 935 </w:t>
      </w:r>
      <w:r w:rsidR="00072668" w:rsidRPr="000B0DB3">
        <w:t>(</w:t>
      </w:r>
      <w:r w:rsidRPr="000B0DB3">
        <w:t>1969</w:t>
      </w:r>
      <w:r w:rsidR="00072668" w:rsidRPr="000B0DB3">
        <w:t>)</w:t>
      </w:r>
      <w:r w:rsidR="00E23B96" w:rsidRPr="000B0DB3">
        <w:t>:</w:t>
      </w:r>
      <w:r w:rsidRPr="000B0DB3">
        <w:t xml:space="preserve"> </w:t>
      </w:r>
      <w:r w:rsidR="00072668" w:rsidRPr="000B0DB3">
        <w:t xml:space="preserve">Georgia Pacific, a real estate purchaser </w:t>
      </w:r>
      <w:r w:rsidRPr="000B0DB3">
        <w:t xml:space="preserve">refused to pay </w:t>
      </w:r>
      <w:r w:rsidR="00072668" w:rsidRPr="000B0DB3">
        <w:t xml:space="preserve">Capp, </w:t>
      </w:r>
      <w:r w:rsidRPr="000B0DB3">
        <w:t>a real estate agent</w:t>
      </w:r>
      <w:r w:rsidR="00072668" w:rsidRPr="000B0DB3">
        <w:t xml:space="preserve">, the </w:t>
      </w:r>
      <w:r w:rsidRPr="000B0DB3">
        <w:t xml:space="preserve">commission </w:t>
      </w:r>
      <w:r w:rsidR="00072668" w:rsidRPr="000B0DB3">
        <w:t xml:space="preserve">they had agreed to </w:t>
      </w:r>
      <w:r w:rsidRPr="000B0DB3">
        <w:t xml:space="preserve">unless </w:t>
      </w:r>
      <w:r w:rsidR="00072668" w:rsidRPr="000B0DB3">
        <w:t xml:space="preserve">Capp </w:t>
      </w:r>
      <w:r w:rsidRPr="000B0DB3">
        <w:t xml:space="preserve">lowered his fee.  </w:t>
      </w:r>
      <w:r w:rsidR="00072668" w:rsidRPr="000B0DB3">
        <w:t xml:space="preserve">Capp </w:t>
      </w:r>
      <w:r w:rsidRPr="000B0DB3">
        <w:t xml:space="preserve">agreed because he was in immediate need of funds to avert a mortgage foreclosure on his own home.  </w:t>
      </w:r>
    </w:p>
    <w:p w14:paraId="4C46032A" w14:textId="3EE44AFA" w:rsidR="00270536" w:rsidRPr="000B0DB3" w:rsidRDefault="00270536" w:rsidP="00E23B96">
      <w:pPr>
        <w:pStyle w:val="ListBullet"/>
      </w:pPr>
      <w:r w:rsidRPr="000B0DB3">
        <w:rPr>
          <w:i/>
        </w:rPr>
        <w:t>Austin Instrument, Inc. v. Loral Corp.</w:t>
      </w:r>
      <w:r w:rsidRPr="000B0DB3">
        <w:t>, 29 N.Y.2d 124, 324 N.Y.S.2d 22, 272 N.E.2d 533 (1971)</w:t>
      </w:r>
      <w:r w:rsidR="00E23B96" w:rsidRPr="000B0DB3">
        <w:t>:</w:t>
      </w:r>
      <w:r w:rsidR="00072668" w:rsidRPr="000B0DB3">
        <w:t xml:space="preserve"> </w:t>
      </w:r>
      <w:r w:rsidR="00CB24AB" w:rsidRPr="000B0DB3">
        <w:t xml:space="preserve">Austin </w:t>
      </w:r>
      <w:r w:rsidR="00072668" w:rsidRPr="000B0DB3">
        <w:t>won a contract to supply radar sets to the Navy</w:t>
      </w:r>
      <w:r w:rsidR="00CB24AB" w:rsidRPr="000B0DB3">
        <w:t xml:space="preserve"> and </w:t>
      </w:r>
      <w:r w:rsidR="00072668" w:rsidRPr="000B0DB3">
        <w:t xml:space="preserve">contracted with Loral to supply components.  Knowing that Austin </w:t>
      </w:r>
      <w:r w:rsidR="00CB24AB" w:rsidRPr="000B0DB3">
        <w:t xml:space="preserve">had no alternative suppliers and risked losing future Navy contracts if it failed to deliver radar sets on time, </w:t>
      </w:r>
      <w:r w:rsidR="00072668" w:rsidRPr="000B0DB3">
        <w:t xml:space="preserve">Loral refused to deliver </w:t>
      </w:r>
      <w:r w:rsidR="00CB24AB" w:rsidRPr="000B0DB3">
        <w:t>components unless Austin agreed to a higher price, which it did.</w:t>
      </w:r>
    </w:p>
    <w:p w14:paraId="626C1EB4" w14:textId="047372ED" w:rsidR="00AA6F21" w:rsidRPr="000B0DB3" w:rsidRDefault="00AA6F21" w:rsidP="00AA6F21">
      <w:pPr>
        <w:pStyle w:val="ListBullet"/>
      </w:pPr>
      <w:r w:rsidRPr="000B0DB3">
        <w:rPr>
          <w:i/>
        </w:rPr>
        <w:t xml:space="preserve">Kelsey-Hayes Company v. </w:t>
      </w:r>
      <w:proofErr w:type="spellStart"/>
      <w:r w:rsidRPr="000B0DB3">
        <w:rPr>
          <w:i/>
        </w:rPr>
        <w:t>Galtaco</w:t>
      </w:r>
      <w:proofErr w:type="spellEnd"/>
      <w:r w:rsidRPr="000B0DB3">
        <w:rPr>
          <w:i/>
        </w:rPr>
        <w:t xml:space="preserve"> </w:t>
      </w:r>
      <w:proofErr w:type="spellStart"/>
      <w:r w:rsidRPr="000B0DB3">
        <w:rPr>
          <w:i/>
        </w:rPr>
        <w:t>Redlaw</w:t>
      </w:r>
      <w:proofErr w:type="spellEnd"/>
      <w:r w:rsidRPr="000B0DB3">
        <w:rPr>
          <w:i/>
        </w:rPr>
        <w:t xml:space="preserve"> Casting Corp</w:t>
      </w:r>
      <w:r w:rsidRPr="000B0DB3">
        <w:t xml:space="preserve">., 749 F. Supp. 794 (E.D. Mich. 1990): Kelsey Hayes, which supplies brake assemblies to auto manufacturers, signed a requirements contract with </w:t>
      </w:r>
      <w:proofErr w:type="spellStart"/>
      <w:r w:rsidRPr="000B0DB3">
        <w:t>Galtaco</w:t>
      </w:r>
      <w:proofErr w:type="spellEnd"/>
      <w:r w:rsidRPr="000B0DB3">
        <w:t xml:space="preserve"> in which the latter would supply all the castings that the former needed.  Twice </w:t>
      </w:r>
      <w:proofErr w:type="spellStart"/>
      <w:r w:rsidRPr="000B0DB3">
        <w:t>Galtaco</w:t>
      </w:r>
      <w:proofErr w:type="spellEnd"/>
      <w:r w:rsidRPr="000B0DB3">
        <w:t xml:space="preserve"> asked for a 30% increase in price claiming its costs had risen.  Having no alternative supplier, Kelsey-Hayes acquiesced.  </w:t>
      </w:r>
    </w:p>
    <w:p w14:paraId="1307D747" w14:textId="0C9244F5" w:rsidR="009F4DE7" w:rsidRPr="009F4DE7" w:rsidRDefault="00C04692" w:rsidP="008A0F9D">
      <w:r>
        <w:lastRenderedPageBreak/>
        <w:t xml:space="preserve">Not all cases of hold-up make it to court.  One famous example from recent years involved </w:t>
      </w:r>
      <w:r w:rsidR="009F4DE7">
        <w:t xml:space="preserve">James </w:t>
      </w:r>
      <w:proofErr w:type="spellStart"/>
      <w:r w:rsidR="009F4DE7">
        <w:t>Gandolfini</w:t>
      </w:r>
      <w:proofErr w:type="spellEnd"/>
      <w:r w:rsidR="009F4DE7">
        <w:t xml:space="preserve">, a central character in the HBO series, </w:t>
      </w:r>
      <w:r w:rsidR="009F4DE7">
        <w:rPr>
          <w:i/>
        </w:rPr>
        <w:t>The Sopranos</w:t>
      </w:r>
      <w:r w:rsidR="009F4DE7">
        <w:t xml:space="preserve">.  </w:t>
      </w:r>
      <w:r>
        <w:t xml:space="preserve">In the middle of production, </w:t>
      </w:r>
      <w:proofErr w:type="spellStart"/>
      <w:r w:rsidR="009F4DE7">
        <w:t>Gandolfini</w:t>
      </w:r>
      <w:proofErr w:type="spellEnd"/>
      <w:r w:rsidR="009F4DE7">
        <w:t xml:space="preserve"> threatened to stop filming unless HBO </w:t>
      </w:r>
      <w:r w:rsidR="00C228E6">
        <w:t xml:space="preserve">agreed to renegotiate </w:t>
      </w:r>
      <w:r w:rsidR="009F4DE7">
        <w:t xml:space="preserve">his wage </w:t>
      </w:r>
      <w:r w:rsidR="00C228E6">
        <w:t>from $400,000 per episode to $800,000 per episode.</w:t>
      </w:r>
      <w:r w:rsidR="00B97DDA">
        <w:rPr>
          <w:rStyle w:val="FootnoteReference"/>
        </w:rPr>
        <w:footnoteReference w:id="27"/>
      </w:r>
      <w:r w:rsidR="00C228E6">
        <w:t xml:space="preserve">  </w:t>
      </w:r>
      <w:r>
        <w:t>HBO agreed because of the losses it would sustain if production stopped.</w:t>
      </w:r>
    </w:p>
    <w:p w14:paraId="11E7761C" w14:textId="1C6A44A9" w:rsidR="008A0F9D" w:rsidRDefault="00270536" w:rsidP="008A0F9D">
      <w:r>
        <w:t xml:space="preserve">There are </w:t>
      </w:r>
      <w:r w:rsidR="00D03CAE">
        <w:t xml:space="preserve">other </w:t>
      </w:r>
      <w:r>
        <w:t xml:space="preserve">out-of-court examples that are less well publicized but common enough to make casebooks.  </w:t>
      </w:r>
      <w:r w:rsidR="008A0F9D">
        <w:t>Professor Corbin</w:t>
      </w:r>
      <w:r>
        <w:t>, for example,</w:t>
      </w:r>
      <w:r w:rsidR="008A0F9D">
        <w:t xml:space="preserve"> provides a scenario familiar to anyone who has engaged contractors in real estate or other industries: </w:t>
      </w:r>
    </w:p>
    <w:p w14:paraId="752F4E51" w14:textId="692F1D8D" w:rsidR="008A0F9D" w:rsidRDefault="008A0F9D" w:rsidP="006968D7">
      <w:pPr>
        <w:pStyle w:val="Quote"/>
      </w:pPr>
      <w:r w:rsidRPr="008A0F9D">
        <w:t xml:space="preserve">Doubtless, also, there have been tough cases in which the promisor has been subjected to a hold up game, so that he made his new promise under some degree of economic duress. It is certainly possible that a contractor may bid low in order to get the contract, and then refuse to perform, after it is too late to obtain another contractor without loss and inconvenience, in order to induce a promise of more pay. The strict enforcement of the supposed general </w:t>
      </w:r>
      <w:r>
        <w:t xml:space="preserve">[pre-existing duty] </w:t>
      </w:r>
      <w:r w:rsidRPr="008A0F9D">
        <w:t>rule would tend to remove this temptation from bidders, since they would know that a promise so induced would not be legally enforce</w:t>
      </w:r>
      <w:r w:rsidR="00E23B96">
        <w:t>able.</w:t>
      </w:r>
      <w:r w:rsidR="00E23B96">
        <w:rPr>
          <w:rStyle w:val="FootnoteReference"/>
        </w:rPr>
        <w:footnoteReference w:id="28"/>
      </w:r>
    </w:p>
    <w:p w14:paraId="26CF54F6" w14:textId="57F656CC" w:rsidR="00270536" w:rsidRDefault="00E23B96" w:rsidP="008A0F9D">
      <w:r>
        <w:t>Judge Posner has highlighted another version that does not involve underbidding so much as exploiting a counterparty’ obligations to third parties:</w:t>
      </w:r>
    </w:p>
    <w:p w14:paraId="76E31E4B" w14:textId="55487980" w:rsidR="00E23B96" w:rsidRDefault="00E23B96" w:rsidP="00E23B96">
      <w:pPr>
        <w:pStyle w:val="Quote"/>
      </w:pPr>
      <w:r w:rsidRPr="00E23B96">
        <w:rPr>
          <w:rStyle w:val="QuoteChar"/>
        </w:rPr>
        <w:t xml:space="preserve">[T]here is often an interval in the life of a contract during which one party is at the mercy of the other. A may </w:t>
      </w:r>
      <w:proofErr w:type="gramStart"/>
      <w:r w:rsidRPr="00E23B96">
        <w:rPr>
          <w:rStyle w:val="QuoteChar"/>
        </w:rPr>
        <w:t>have</w:t>
      </w:r>
      <w:proofErr w:type="gramEnd"/>
      <w:r w:rsidRPr="00E23B96">
        <w:rPr>
          <w:rStyle w:val="QuoteChar"/>
        </w:rPr>
        <w:t xml:space="preserve"> ordered a machine from B that A wants to place in operation on a given date [and] may have made commitments to his customers that it would be costly to renege on. As the date of scheduled delivery approaches, B may be tempted to demand that A agree to renegotiate the contract price, knowing that A will incur heavy expenses if B fails to deliver on time. A can always refuse to renegotiate, relying instead on his right to sue B for breach of contract if B fails to make delivery by the agreed date. But legal remedies are always costly and uncertain.</w:t>
      </w:r>
      <w:r>
        <w:rPr>
          <w:rStyle w:val="FootnoteReference"/>
          <w:iCs w:val="0"/>
        </w:rPr>
        <w:footnoteReference w:id="29"/>
      </w:r>
      <w:r>
        <w:t xml:space="preserve"> </w:t>
      </w:r>
    </w:p>
    <w:p w14:paraId="2FBC6317" w14:textId="6AA1C2F4" w:rsidR="00E23B96" w:rsidRDefault="00E4209E" w:rsidP="00E23B96">
      <w:r>
        <w:t>A natural question in these cases is why the party being help capitulates rather than suing.  As Judge Posner has noted, hold-up can be successful in cases where legal remedies are inadequate.</w:t>
      </w:r>
      <w:r>
        <w:rPr>
          <w:rStyle w:val="FootnoteReference"/>
        </w:rPr>
        <w:footnoteReference w:id="30"/>
      </w:r>
      <w:r>
        <w:t xml:space="preserve">  This could be because litigation is costly (and there is no English rule), remedies are uncertain, perhaps because facts relevant to proving </w:t>
      </w:r>
      <w:r w:rsidR="00485CB8">
        <w:t>hold-up</w:t>
      </w:r>
      <w:r>
        <w:t xml:space="preserve"> are non-verifiable, or because the law does not provide remedies for certain types of hold-up, e.g., cases where one party makes efficient relationship-specific investments after a contract is signed but not specified in that contract.  </w:t>
      </w:r>
    </w:p>
    <w:p w14:paraId="61659A90" w14:textId="4C568914" w:rsidR="008A0F9D" w:rsidRPr="000C2C99" w:rsidRDefault="008A0F9D" w:rsidP="008A0F9D"/>
    <w:p w14:paraId="1C0C037B" w14:textId="0479D3C9" w:rsidR="00E4048E" w:rsidRPr="00E4048E" w:rsidRDefault="00E4048E" w:rsidP="00155C53">
      <w:pPr>
        <w:pStyle w:val="Heading2"/>
      </w:pPr>
      <w:bookmarkStart w:id="12" w:name="_Toc508877629"/>
      <w:r w:rsidRPr="00E4048E">
        <w:t>The hold-up problem and its impacts</w:t>
      </w:r>
      <w:bookmarkEnd w:id="12"/>
    </w:p>
    <w:p w14:paraId="732B9260" w14:textId="39C15E0A" w:rsidR="00E4209E" w:rsidRDefault="00E4209E" w:rsidP="00E4209E">
      <w:r w:rsidRPr="002524A9">
        <w:lastRenderedPageBreak/>
        <w:t xml:space="preserve">In order to illustrate </w:t>
      </w:r>
      <w:r w:rsidR="000B0DB3">
        <w:t xml:space="preserve">the costs of the </w:t>
      </w:r>
      <w:r w:rsidR="00485CB8">
        <w:t>hold-up</w:t>
      </w:r>
      <w:r w:rsidRPr="002524A9">
        <w:t xml:space="preserve"> problem and</w:t>
      </w:r>
      <w:r w:rsidR="00062F44">
        <w:t>, later,</w:t>
      </w:r>
      <w:r w:rsidRPr="002524A9">
        <w:t xml:space="preserve"> its possible theoretical solutions, we use a recent example that should be familiar to readers, at least those familiar with smart phones</w:t>
      </w:r>
      <w:r w:rsidRPr="00587805">
        <w:t>.</w:t>
      </w:r>
      <w:r w:rsidRPr="009520AF">
        <w:t xml:space="preserve">  </w:t>
      </w:r>
      <w:r w:rsidRPr="0080148B">
        <w:t>The buyer in our example is Apple, an original equipment manufacturer (“OEM”) of the iPhone smartphone and the seller is Corning, an important component manufacturer</w:t>
      </w:r>
      <w:r>
        <w:t xml:space="preserve"> </w:t>
      </w:r>
      <w:r w:rsidRPr="0080148B">
        <w:t xml:space="preserve">which </w:t>
      </w:r>
      <w:r>
        <w:t>produces “Gorilla Glass”</w:t>
      </w:r>
      <w:r w:rsidRPr="0080148B">
        <w:t>.</w:t>
      </w:r>
      <w:r>
        <w:t xml:space="preserve">  Our contention is not that Apple and Corning’s contract actually had a hold-up problem, but that it might have and that we can therefore use it to illustrate some of the impacts of hold-up and solutions to hold-up.</w:t>
      </w:r>
      <w:r w:rsidR="000B0DB3">
        <w:t xml:space="preserve">  The numbers we employ in this example were chosen not because they reflect reality, but because they help demonstrate how hold-up can deter </w:t>
      </w:r>
      <w:r w:rsidR="00062F44">
        <w:t xml:space="preserve">efficient </w:t>
      </w:r>
      <w:r w:rsidR="000B0DB3">
        <w:t>investment.</w:t>
      </w:r>
      <w:r w:rsidR="000B0DB3">
        <w:rPr>
          <w:rStyle w:val="FootnoteReference"/>
        </w:rPr>
        <w:footnoteReference w:id="31"/>
      </w:r>
      <w:r w:rsidR="000B0DB3">
        <w:t xml:space="preserve">  </w:t>
      </w:r>
    </w:p>
    <w:p w14:paraId="13EE38F0" w14:textId="77777777" w:rsidR="00E4048E" w:rsidRPr="009520AF" w:rsidRDefault="00E4048E" w:rsidP="00E4048E">
      <w:r w:rsidRPr="002524A9">
        <w:t xml:space="preserve">Suppose Apple and Corning </w:t>
      </w:r>
      <w:r w:rsidR="00C60C91" w:rsidRPr="002524A9">
        <w:t xml:space="preserve">want to </w:t>
      </w:r>
      <w:r w:rsidRPr="002524A9">
        <w:t xml:space="preserve">enter into a relationship </w:t>
      </w:r>
      <w:r w:rsidR="00C60C91" w:rsidRPr="002524A9">
        <w:t xml:space="preserve">wherein </w:t>
      </w:r>
      <w:r w:rsidRPr="002524A9">
        <w:t xml:space="preserve">Corning </w:t>
      </w:r>
      <w:r w:rsidR="00C60C91" w:rsidRPr="002524A9">
        <w:t>provides 1 unit</w:t>
      </w:r>
      <w:r w:rsidRPr="002524A9">
        <w:t xml:space="preserve"> of a good (“Gorilla Glass” or “glass”) at price </w:t>
      </w:r>
      <m:oMath>
        <m:r>
          <w:rPr>
            <w:rFonts w:ascii="Cambria Math" w:hAnsi="Cambria Math"/>
          </w:rPr>
          <m:t>p</m:t>
        </m:r>
      </m:oMath>
      <w:r w:rsidRPr="002524A9">
        <w:rPr>
          <w:i/>
        </w:rPr>
        <w:t xml:space="preserve"> </w:t>
      </w:r>
      <w:r w:rsidRPr="002524A9">
        <w:t>per unit</w:t>
      </w:r>
      <w:r w:rsidRPr="00A0566F">
        <w:t>.</w:t>
      </w:r>
      <w:bookmarkStart w:id="13" w:name="_Ref494212392"/>
      <w:r w:rsidR="00C60C91">
        <w:rPr>
          <w:rStyle w:val="FootnoteReference"/>
        </w:rPr>
        <w:footnoteReference w:id="32"/>
      </w:r>
      <w:bookmarkEnd w:id="13"/>
      <w:r w:rsidRPr="009520AF">
        <w:t xml:space="preserve"> The value generated by trade depends on Apple’s valuation for the glass, </w:t>
      </w:r>
      <m:oMath>
        <m:r>
          <w:rPr>
            <w:rFonts w:ascii="Cambria Math" w:hAnsi="Cambria Math"/>
          </w:rPr>
          <m:t>v</m:t>
        </m:r>
      </m:oMath>
      <w:r w:rsidRPr="009520AF">
        <w:t xml:space="preserve"> and Corning’s cost of producing the glass </w:t>
      </w:r>
      <m:oMath>
        <m:r>
          <w:rPr>
            <w:rFonts w:ascii="Cambria Math" w:hAnsi="Cambria Math"/>
          </w:rPr>
          <m:t>c</m:t>
        </m:r>
      </m:oMath>
      <w:r w:rsidRPr="009520AF">
        <w:t>.</w:t>
      </w:r>
    </w:p>
    <w:p w14:paraId="350B0BF5" w14:textId="77777777" w:rsidR="00E4048E" w:rsidRPr="00191A71" w:rsidRDefault="00E4048E" w:rsidP="00E4048E">
      <w:r w:rsidRPr="002524A9">
        <w:t>The timing of the relationship is as follows.</w:t>
      </w:r>
      <w:r w:rsidRPr="00191A71">
        <w:t xml:space="preserve"> First, the parties contract. Second, they make their investments non-cooperatively and simultaneously. Third, they both learn </w:t>
      </w:r>
      <m:oMath>
        <m:r>
          <w:rPr>
            <w:rFonts w:ascii="Cambria Math" w:hAnsi="Cambria Math"/>
          </w:rPr>
          <m:t>v</m:t>
        </m:r>
      </m:oMath>
      <w:r w:rsidRPr="00191A71">
        <w:t xml:space="preserve"> and </w:t>
      </w:r>
      <m:oMath>
        <m:r>
          <w:rPr>
            <w:rFonts w:ascii="Cambria Math" w:hAnsi="Cambria Math"/>
          </w:rPr>
          <m:t>c</m:t>
        </m:r>
      </m:oMath>
      <w:r w:rsidRPr="00191A71">
        <w:t>. Finally, the contract is executed.</w:t>
      </w:r>
    </w:p>
    <w:p w14:paraId="03D67566" w14:textId="73553132" w:rsidR="00E4048E" w:rsidRPr="009520AF" w:rsidRDefault="00E4048E" w:rsidP="00E4048E">
      <w:r w:rsidRPr="002524A9">
        <w:t xml:space="preserve">At the time of contracting, the precise values of </w:t>
      </w:r>
      <m:oMath>
        <m:r>
          <w:rPr>
            <w:rFonts w:ascii="Cambria Math" w:hAnsi="Cambria Math"/>
          </w:rPr>
          <m:t>v</m:t>
        </m:r>
      </m:oMath>
      <w:r w:rsidRPr="002524A9">
        <w:t xml:space="preserve"> and </w:t>
      </w:r>
      <m:oMath>
        <m:r>
          <w:rPr>
            <w:rFonts w:ascii="Cambria Math" w:hAnsi="Cambria Math"/>
          </w:rPr>
          <m:t>c</m:t>
        </m:r>
      </m:oMath>
      <w:r w:rsidRPr="002524A9">
        <w:t xml:space="preserve"> are not known since they depend on investments made by Apple and Corning</w:t>
      </w:r>
      <w:r w:rsidRPr="00A0566F">
        <w:t>.</w:t>
      </w:r>
      <w:r w:rsidRPr="009520AF">
        <w:t xml:space="preserve"> </w:t>
      </w:r>
      <w:r w:rsidR="000D7E2B">
        <w:t xml:space="preserve">We propose some numbers that have no special significance, but can help the reader see how the hold-up problem operates.  </w:t>
      </w:r>
      <w:r w:rsidRPr="009520AF">
        <w:t xml:space="preserve">Suppose that </w:t>
      </w:r>
      <m:oMath>
        <m:r>
          <w:rPr>
            <w:rFonts w:ascii="Cambria Math" w:hAnsi="Cambria Math"/>
          </w:rPr>
          <m:t>v</m:t>
        </m:r>
      </m:oMath>
      <w:r w:rsidRPr="009520AF">
        <w:t xml:space="preserve"> can be either $40 or $32 and correspondingly </w:t>
      </w:r>
      <w:r w:rsidRPr="009520AF">
        <w:rPr>
          <w:i/>
        </w:rPr>
        <w:t>c</w:t>
      </w:r>
      <w:r w:rsidRPr="009520AF">
        <w:t xml:space="preserve"> can be $</w:t>
      </w:r>
      <w:r w:rsidR="00A0761F">
        <w:t>16</w:t>
      </w:r>
      <w:r w:rsidRPr="009520AF">
        <w:t xml:space="preserve"> or $10.</w:t>
      </w:r>
      <w:r w:rsidR="007766A1">
        <w:rPr>
          <w:rStyle w:val="FootnoteReference"/>
        </w:rPr>
        <w:footnoteReference w:id="33"/>
      </w:r>
      <w:r w:rsidRPr="009520AF">
        <w:t xml:space="preserve"> Apple’s investment affects the probability that </w:t>
      </w:r>
      <w:r w:rsidRPr="009520AF">
        <w:rPr>
          <w:i/>
        </w:rPr>
        <w:t>v</w:t>
      </w:r>
      <w:r w:rsidRPr="009520AF">
        <w:t xml:space="preserve"> is high (or low) and Corning’s investment affects the probability that </w:t>
      </w:r>
      <w:r w:rsidRPr="009520AF">
        <w:rPr>
          <w:i/>
        </w:rPr>
        <w:t>c</w:t>
      </w:r>
      <w:r w:rsidRPr="009520AF">
        <w:t xml:space="preserve"> is high (or low). These investments are privately costly to Apple and Corning, costing each $5. One can think of Apple’s investment as marketing of the iPhone thus increasing sales volume</w:t>
      </w:r>
      <w:r>
        <w:t xml:space="preserve"> or as </w:t>
      </w:r>
      <w:r w:rsidRPr="009520AF">
        <w:t xml:space="preserve">Apple </w:t>
      </w:r>
      <w:r>
        <w:t xml:space="preserve">making </w:t>
      </w:r>
      <w:r w:rsidRPr="009520AF">
        <w:t>other features of the iPhone more complementary with strong glass—say by having a smaller form-factor or reduced bezel</w:t>
      </w:r>
      <w:r>
        <w:t xml:space="preserve"> or adding a face recognition system that eliminates the need for a thumbprint </w:t>
      </w:r>
      <w:r w:rsidR="00A0566F">
        <w:t>ID</w:t>
      </w:r>
      <w:r>
        <w:t>-enabled home button and allows the screen to take up the entire front of the smartphone</w:t>
      </w:r>
      <w:r w:rsidRPr="009520AF">
        <w:t>. One can think of Corning’s investment as improving the strength of glass</w:t>
      </w:r>
      <w:r>
        <w:t>, especially larger pieces of glass,</w:t>
      </w:r>
      <w:r w:rsidRPr="009520AF">
        <w:t xml:space="preserve"> or lowering the cost of production.</w:t>
      </w:r>
    </w:p>
    <w:p w14:paraId="556270CB" w14:textId="77777777" w:rsidR="00E4048E" w:rsidRDefault="00E4048E" w:rsidP="00E4048E">
      <w:r w:rsidRPr="002524A9">
        <w:t xml:space="preserve">The parties do not write fully state-contingent contracts that specify </w:t>
      </w:r>
      <m:oMath>
        <m:r>
          <w:rPr>
            <w:rFonts w:ascii="Cambria Math" w:hAnsi="Cambria Math"/>
          </w:rPr>
          <m:t>p</m:t>
        </m:r>
      </m:oMath>
      <w:r w:rsidRPr="002524A9">
        <w:t xml:space="preserve"> and </w:t>
      </w:r>
      <w:r w:rsidR="00C60C91" w:rsidRPr="002524A9">
        <w:t xml:space="preserve">the probability of trade </w:t>
      </w:r>
      <m:oMath>
        <m:r>
          <w:rPr>
            <w:rFonts w:ascii="Cambria Math" w:hAnsi="Cambria Math"/>
          </w:rPr>
          <m:t>q</m:t>
        </m:r>
        <m:r>
          <w:rPr>
            <w:rStyle w:val="FootnoteReference"/>
            <w:rFonts w:ascii="Cambria Math" w:hAnsi="Cambria Math"/>
            <w:i/>
          </w:rPr>
          <w:footnoteReference w:id="34"/>
        </m:r>
      </m:oMath>
      <w:r w:rsidRPr="002524A9">
        <w:t xml:space="preserve"> for each combination of </w:t>
      </w:r>
      <m:oMath>
        <m:r>
          <w:rPr>
            <w:rFonts w:ascii="Cambria Math" w:hAnsi="Cambria Math"/>
          </w:rPr>
          <m:t>v</m:t>
        </m:r>
      </m:oMath>
      <w:r w:rsidRPr="002524A9">
        <w:t xml:space="preserve"> and </w:t>
      </w:r>
      <m:oMath>
        <m:r>
          <w:rPr>
            <w:rFonts w:ascii="Cambria Math" w:hAnsi="Cambria Math"/>
          </w:rPr>
          <m:t>c</m:t>
        </m:r>
      </m:oMath>
      <w:r w:rsidRPr="002524A9">
        <w:t xml:space="preserve"> and they only invest after they contract because, in </w:t>
      </w:r>
      <w:r w:rsidR="00A0566F" w:rsidRPr="002524A9">
        <w:t>reality</w:t>
      </w:r>
      <w:r w:rsidRPr="002524A9">
        <w:t>, there are unanticipated innovations, opportunities or challenges that arise after contracting but before delivery</w:t>
      </w:r>
      <w:r w:rsidRPr="00A0566F">
        <w:t>.</w:t>
      </w:r>
      <w:r w:rsidRPr="009520AF">
        <w:t xml:space="preserve">  </w:t>
      </w:r>
      <w:r>
        <w:t>Real</w:t>
      </w:r>
      <w:r w:rsidR="00A0566F">
        <w:t>-</w:t>
      </w:r>
      <w:r>
        <w:t xml:space="preserve">world examples include </w:t>
      </w:r>
      <w:r w:rsidRPr="009520AF">
        <w:t>Samsung</w:t>
      </w:r>
      <w:r>
        <w:t xml:space="preserve">’s surprise introduction of </w:t>
      </w:r>
      <w:r w:rsidRPr="009520AF">
        <w:t xml:space="preserve">a glass </w:t>
      </w:r>
      <w:r>
        <w:t xml:space="preserve">screen </w:t>
      </w:r>
      <w:r w:rsidRPr="009520AF">
        <w:t xml:space="preserve">that folds around the </w:t>
      </w:r>
      <w:r w:rsidRPr="009520AF">
        <w:lastRenderedPageBreak/>
        <w:t>edges of the</w:t>
      </w:r>
      <w:r>
        <w:t>ir Galaxy</w:t>
      </w:r>
      <w:r w:rsidRPr="009520AF">
        <w:t xml:space="preserve"> phone</w:t>
      </w:r>
      <w:r>
        <w:t>.</w:t>
      </w:r>
      <w:r w:rsidRPr="009520AF">
        <w:rPr>
          <w:rStyle w:val="FootnoteReference"/>
        </w:rPr>
        <w:footnoteReference w:id="35"/>
      </w:r>
      <w:r w:rsidRPr="009520AF">
        <w:t xml:space="preserve">  Corning </w:t>
      </w:r>
      <w:r>
        <w:t xml:space="preserve">felt </w:t>
      </w:r>
      <w:r w:rsidRPr="009520AF">
        <w:t xml:space="preserve">pressure to match that.  Another </w:t>
      </w:r>
      <w:r>
        <w:t>real</w:t>
      </w:r>
      <w:r w:rsidR="00A0761F">
        <w:t>-</w:t>
      </w:r>
      <w:r>
        <w:t xml:space="preserve">world example is </w:t>
      </w:r>
      <w:r w:rsidRPr="009520AF">
        <w:t>Apple</w:t>
      </w:r>
      <w:r>
        <w:t>’s surprise filing of</w:t>
      </w:r>
      <w:r w:rsidRPr="009520AF">
        <w:t xml:space="preserve"> </w:t>
      </w:r>
      <w:r>
        <w:t xml:space="preserve">a </w:t>
      </w:r>
      <w:r w:rsidRPr="009520AF">
        <w:t xml:space="preserve">facial recognition </w:t>
      </w:r>
      <w:r>
        <w:t xml:space="preserve">system </w:t>
      </w:r>
      <w:r w:rsidRPr="009520AF">
        <w:t>that increases the value of a larger glass plate front from Corning.</w:t>
      </w:r>
      <w:r w:rsidRPr="009520AF">
        <w:rPr>
          <w:rStyle w:val="FootnoteReference"/>
        </w:rPr>
        <w:footnoteReference w:id="36"/>
      </w:r>
      <w:r w:rsidRPr="009520AF">
        <w:t xml:space="preserve">  Apple would not want to announce the patent earlier for fear that competitors or even suppliers might file their related patents earlier.  </w:t>
      </w:r>
    </w:p>
    <w:p w14:paraId="3C8DF210" w14:textId="77777777" w:rsidR="00E4048E" w:rsidRPr="009520AF" w:rsidRDefault="00E4048E" w:rsidP="00E4048E">
      <w:r w:rsidRPr="002524A9">
        <w:t xml:space="preserve">With the numbers we have chosen </w:t>
      </w:r>
      <w:r w:rsidR="00A0566F" w:rsidRPr="002524A9">
        <w:t>in our</w:t>
      </w:r>
      <w:r w:rsidRPr="002524A9">
        <w:t xml:space="preserve"> example, the socially efficient thing to do is for both parties to make the investments</w:t>
      </w:r>
      <w:r w:rsidRPr="00A0566F">
        <w:t>,</w:t>
      </w:r>
      <w:r w:rsidRPr="009520AF">
        <w:t xml:space="preserve"> since both have a marginal value above their marginal cost ($8 compared to $5 for Apple’s investment and $6 compared to $5 for Corning’s). If the investments are </w:t>
      </w:r>
      <w:proofErr w:type="gramStart"/>
      <w:r w:rsidRPr="009520AF">
        <w:t>made</w:t>
      </w:r>
      <w:proofErr w:type="gramEnd"/>
      <w:r w:rsidRPr="009520AF">
        <w:t xml:space="preserve"> then total surplus is $40 − $10 − $5 − $5 = $20.</w:t>
      </w:r>
    </w:p>
    <w:p w14:paraId="2C8C333E" w14:textId="7B2BE137" w:rsidR="00E4048E" w:rsidRPr="009520AF" w:rsidRDefault="00E4048E" w:rsidP="00E4048E">
      <w:r w:rsidRPr="002524A9">
        <w:t>The essence of the hold-up problem, however, is that Apple and Corning will underinvest in the absence of the ability to contract on the investments (or values/costs) if they cannot prevent renegotiation.</w:t>
      </w:r>
      <w:r>
        <w:t xml:space="preserve">  </w:t>
      </w:r>
      <w:r w:rsidRPr="009520AF">
        <w:t xml:space="preserve">To see this, consider Corning, and suppose they make their privately costly investment. Once Apple’s value for the glass and Corning’s cost of producing it is realized, the parties will renegotiate the price, since contracting was incomplete at the start of the relationship. Assuming, for simplicity, that the parties </w:t>
      </w:r>
      <w:r w:rsidR="00A54F04">
        <w:t xml:space="preserve">evenly </w:t>
      </w:r>
      <w:r w:rsidRPr="009520AF">
        <w:t xml:space="preserve">split the incremental surplus generated (as would arise as a result of the Nash bargaining solution) then the price will be adjusted so that Corning only gets half of the $6 that it increased total surplus by, that is $3. Anticipating this at the investment stage </w:t>
      </w:r>
      <w:r w:rsidR="00A54F04">
        <w:t>Corning</w:t>
      </w:r>
      <w:r w:rsidR="00A23C1A">
        <w:t xml:space="preserve"> </w:t>
      </w:r>
      <w:r w:rsidRPr="009520AF">
        <w:t>compare</w:t>
      </w:r>
      <w:r w:rsidR="00A54F04">
        <w:t>s</w:t>
      </w:r>
      <w:r w:rsidRPr="009520AF">
        <w:t xml:space="preserve"> the $3 benefit with the $5 cost and will no</w:t>
      </w:r>
      <w:r w:rsidR="00A54F04">
        <w:t>t</w:t>
      </w:r>
      <w:r w:rsidRPr="009520AF">
        <w:t xml:space="preserve"> invest. Analogously, Apple will compare a $8/2=$4 benefit with a $5 cost and likewise will not invest.</w:t>
      </w:r>
      <w:r>
        <w:t xml:space="preserve">  </w:t>
      </w:r>
      <w:r w:rsidRPr="009520AF">
        <w:t>This means that, in the presence of hold up, neither party will invest, Apple’s valuation will be low and Corning’s cost high, and total surplus will be $32-$16=$16.</w:t>
      </w:r>
    </w:p>
    <w:p w14:paraId="1996ACCA" w14:textId="77777777" w:rsidR="00E4048E" w:rsidRPr="009520AF" w:rsidRDefault="00E4048E" w:rsidP="00E4048E">
      <w:pPr>
        <w:rPr>
          <w:b/>
        </w:rPr>
      </w:pPr>
      <w:r w:rsidRPr="002524A9">
        <w:t>As our numerical example illustrates, hold-up reduces economic surplus.</w:t>
      </w:r>
      <w:r>
        <w:rPr>
          <w:b/>
        </w:rPr>
        <w:t xml:space="preserve">  </w:t>
      </w:r>
      <w:r>
        <w:t>I</w:t>
      </w:r>
      <w:r w:rsidRPr="009520AF">
        <w:t>t is thus natural</w:t>
      </w:r>
      <w:r>
        <w:t>, therefore,</w:t>
      </w:r>
      <w:r w:rsidRPr="009520AF">
        <w:t xml:space="preserve"> that </w:t>
      </w:r>
      <w:r>
        <w:t>economists have spent considerable effort</w:t>
      </w:r>
      <w:r>
        <w:rPr>
          <w:rStyle w:val="FootnoteReference"/>
        </w:rPr>
        <w:footnoteReference w:id="37"/>
      </w:r>
      <w:r>
        <w:t xml:space="preserve"> exploring how </w:t>
      </w:r>
      <w:r w:rsidRPr="009520AF">
        <w:t>it</w:t>
      </w:r>
      <w:r>
        <w:t>s impact</w:t>
      </w:r>
      <w:r w:rsidRPr="009520AF">
        <w:t xml:space="preserve"> can be </w:t>
      </w:r>
      <w:r>
        <w:t>mitigated</w:t>
      </w:r>
      <w:r w:rsidRPr="009520AF">
        <w:t>, in circumstances where it cannot be avoided due to limitations of the contracting environment.</w:t>
      </w:r>
    </w:p>
    <w:p w14:paraId="446F7E00" w14:textId="77777777" w:rsidR="00E4048E" w:rsidRDefault="00E4048E" w:rsidP="00E4048E"/>
    <w:p w14:paraId="04419DD2" w14:textId="77777777" w:rsidR="00E4048E" w:rsidRDefault="000E41BC" w:rsidP="00155C53">
      <w:pPr>
        <w:pStyle w:val="Heading2"/>
      </w:pPr>
      <w:bookmarkStart w:id="15" w:name="_Ref508874698"/>
      <w:bookmarkStart w:id="16" w:name="_Toc508877630"/>
      <w:r w:rsidRPr="009520AF">
        <w:t>Using r</w:t>
      </w:r>
      <w:r w:rsidRPr="003C10F1">
        <w:t>enegotiation-design mechanisms</w:t>
      </w:r>
      <w:r w:rsidRPr="009520AF">
        <w:t xml:space="preserve"> to address hold-up</w:t>
      </w:r>
      <w:bookmarkEnd w:id="15"/>
      <w:bookmarkEnd w:id="16"/>
    </w:p>
    <w:p w14:paraId="64503044" w14:textId="4D065F2A" w:rsidR="000E41BC" w:rsidRPr="009520AF" w:rsidRDefault="000E41BC" w:rsidP="000E41BC">
      <w:r w:rsidRPr="002524A9">
        <w:t xml:space="preserve">The difficulties with </w:t>
      </w:r>
      <w:r w:rsidR="00485CB8">
        <w:t>hold-up</w:t>
      </w:r>
      <w:r w:rsidRPr="002524A9">
        <w:t xml:space="preserve"> derive from subsequent the renegotiation of prices.  </w:t>
      </w:r>
      <w:r w:rsidR="00062F44">
        <w:t xml:space="preserve">Economists have designed a number of contracting solutions – called “mechanisms” – to tackle the hold-up problem.  </w:t>
      </w:r>
      <w:r w:rsidRPr="002524A9">
        <w:t xml:space="preserve">The logic behind </w:t>
      </w:r>
      <w:r w:rsidR="00062F44">
        <w:t xml:space="preserve">these </w:t>
      </w:r>
      <w:r w:rsidRPr="002524A9">
        <w:t>mechanisms stem from the observation that if this renegotiation could be structured differently then perhaps the social optimum could be obtained despite hold-up.</w:t>
      </w:r>
      <w:r w:rsidRPr="009520AF">
        <w:t xml:space="preserve"> Chung (1991) and </w:t>
      </w:r>
      <w:proofErr w:type="spellStart"/>
      <w:r w:rsidRPr="009520AF">
        <w:t>Aghion</w:t>
      </w:r>
      <w:proofErr w:type="spellEnd"/>
      <w:r w:rsidRPr="009520AF">
        <w:t xml:space="preserve">, </w:t>
      </w:r>
      <w:proofErr w:type="spellStart"/>
      <w:r w:rsidRPr="009520AF">
        <w:t>Dewatripont</w:t>
      </w:r>
      <w:proofErr w:type="spellEnd"/>
      <w:r w:rsidRPr="009520AF">
        <w:t xml:space="preserve"> and Rey (1994) are leading examples of this</w:t>
      </w:r>
      <w:r>
        <w:t xml:space="preserve"> approach</w:t>
      </w:r>
      <w:r w:rsidRPr="009520AF">
        <w:t xml:space="preserve">. </w:t>
      </w:r>
      <w:r>
        <w:t xml:space="preserve"> W</w:t>
      </w:r>
      <w:r w:rsidRPr="009520AF">
        <w:t xml:space="preserve">e illustrate </w:t>
      </w:r>
      <w:r>
        <w:t xml:space="preserve">how </w:t>
      </w:r>
      <w:r w:rsidRPr="009520AF">
        <w:t xml:space="preserve">renegotiation design </w:t>
      </w:r>
      <w:r>
        <w:t xml:space="preserve">mechanisms work using the mechanism in </w:t>
      </w:r>
      <w:proofErr w:type="spellStart"/>
      <w:r w:rsidRPr="009520AF">
        <w:t>Aghion</w:t>
      </w:r>
      <w:proofErr w:type="spellEnd"/>
      <w:r w:rsidRPr="009520AF">
        <w:t xml:space="preserve">, </w:t>
      </w:r>
      <w:proofErr w:type="spellStart"/>
      <w:r w:rsidRPr="009520AF">
        <w:t>Dewatripont</w:t>
      </w:r>
      <w:proofErr w:type="spellEnd"/>
      <w:r w:rsidRPr="009520AF">
        <w:t xml:space="preserve"> and R</w:t>
      </w:r>
      <w:r>
        <w:t>e</w:t>
      </w:r>
      <w:r w:rsidRPr="009520AF">
        <w:t xml:space="preserve">y (1994), henceforth “ADR”. </w:t>
      </w:r>
      <w:r>
        <w:t xml:space="preserve">In </w:t>
      </w:r>
      <w:r w:rsidR="0027250A">
        <w:t>A</w:t>
      </w:r>
      <w:r>
        <w:t>ppendix</w:t>
      </w:r>
      <w:r w:rsidR="0027250A">
        <w:t xml:space="preserve"> I</w:t>
      </w:r>
      <w:r>
        <w:t xml:space="preserve">, we illustrate another important renegotiation mechanism based on options contracts and attributable to </w:t>
      </w:r>
      <w:proofErr w:type="spellStart"/>
      <w:r>
        <w:t>Noldeke</w:t>
      </w:r>
      <w:proofErr w:type="spellEnd"/>
      <w:r>
        <w:t xml:space="preserve"> and Schmidt (1995).  </w:t>
      </w:r>
    </w:p>
    <w:p w14:paraId="73589CA2" w14:textId="77777777" w:rsidR="000E41BC" w:rsidRPr="009520AF" w:rsidRDefault="000E41BC" w:rsidP="000E41BC">
      <w:r w:rsidRPr="002524A9">
        <w:lastRenderedPageBreak/>
        <w:t xml:space="preserve">The ADR mechanism has two </w:t>
      </w:r>
      <w:r w:rsidR="00771DD4" w:rsidRPr="002524A9">
        <w:t>components</w:t>
      </w:r>
      <w:r w:rsidRPr="002524A9">
        <w:t xml:space="preserve">.  The first </w:t>
      </w:r>
      <w:r w:rsidR="00771DD4" w:rsidRPr="002524A9">
        <w:t>component</w:t>
      </w:r>
      <w:r w:rsidRPr="002524A9">
        <w:t xml:space="preserve"> is a default trade that can always be requested by one party, even if it is held-up</w:t>
      </w:r>
      <w:r w:rsidRPr="00560C94">
        <w:t>.</w:t>
      </w:r>
      <w:r w:rsidRPr="009520AF">
        <w:t xml:space="preserve"> This default option is structured to give that party (say the seller) a full return to its investment for sure. This needs to be enforceable with a specific performance remedy or a liquidated damages remedy that strongly incentivizes specific performance if the party with the default option requests the default trade. The second </w:t>
      </w:r>
      <w:r w:rsidR="00771DD4">
        <w:t>component</w:t>
      </w:r>
      <w:r w:rsidRPr="009520AF">
        <w:t xml:space="preserve"> gives all the bargaining power in renegotiation to the other party (say the buyer), by allowing that party to make a take-it-or-leave-it offer. The timing of the renegotiation game is as follows: (1) the parties make investment decisions, (2) the buyer makes a take-it-or-leave-it offer, and (3) the seller can accept </w:t>
      </w:r>
      <w:r w:rsidR="00CD32AB">
        <w:t xml:space="preserve">the offer (in which case trade takes place on those terms) </w:t>
      </w:r>
      <w:r w:rsidRPr="009520AF">
        <w:t xml:space="preserve">or </w:t>
      </w:r>
      <w:r w:rsidR="00CD32AB">
        <w:t xml:space="preserve">can </w:t>
      </w:r>
      <w:r w:rsidRPr="009520AF">
        <w:t>trigger the default trade. This two-stage mechanism achieves the socially optimal level of investment by both parties. To see why, note that the seller, despite having no bargaining power at the take-it-or-leave-it stage, is the residual claimant on her investment due to her access to the default option in the second stage of the game, and thus has appropriate incentives to invest optimally. Inducting back to the take-it-or-leave-it-stage, the buyer, because it has all the bargaining power, has the requisite incentives to invest optimally.</w:t>
      </w:r>
      <w:r w:rsidR="00DB62D5">
        <w:rPr>
          <w:rStyle w:val="FootnoteReference"/>
        </w:rPr>
        <w:footnoteReference w:id="38"/>
      </w:r>
      <w:r w:rsidRPr="009520AF">
        <w:t xml:space="preserve"> </w:t>
      </w:r>
    </w:p>
    <w:p w14:paraId="297DDD54" w14:textId="77777777" w:rsidR="000E41BC" w:rsidRPr="009520AF" w:rsidRDefault="000E41BC" w:rsidP="000E41BC">
      <w:r w:rsidRPr="002524A9">
        <w:t>To see how this renegotiation game plays out in the Apple-Corning example,</w:t>
      </w:r>
      <w:r w:rsidRPr="002524A9">
        <w:rPr>
          <w:rStyle w:val="FootnoteReference"/>
        </w:rPr>
        <w:footnoteReference w:id="39"/>
      </w:r>
      <w:r w:rsidRPr="002524A9">
        <w:t xml:space="preserve"> there is a single unit of glass to be traded, so it is convenient to think of setting the default probability that a widget will be traded</w:t>
      </w:r>
      <w:r w:rsidRPr="001635CC">
        <w:t>.</w:t>
      </w:r>
      <w:r w:rsidRPr="009520AF">
        <w:t xml:space="preserve"> The first component of the ADR mechanism is the default trade that Corning can trigger.  We set the default probability of trade at 5/6 and the default price at $23 1/3. We will not go through a derivation of the numbers we have chosen here,</w:t>
      </w:r>
      <w:r w:rsidRPr="009520AF">
        <w:rPr>
          <w:rStyle w:val="FootnoteReference"/>
        </w:rPr>
        <w:footnoteReference w:id="40"/>
      </w:r>
      <w:r w:rsidRPr="009520AF">
        <w:t xml:space="preserve"> but they are constructed to do two things: split the ex-ante surplus evenly between Apple and Corning, and ensure that Corning has the appropriate incentives to make the cost-reducing investment.  The second component of the ADR mechanism is to give Apple the right to make a take-it-or-leave-it offer.  </w:t>
      </w:r>
    </w:p>
    <w:p w14:paraId="5CA09756" w14:textId="77777777" w:rsidR="000E41BC" w:rsidRPr="009520AF" w:rsidRDefault="000E41BC" w:rsidP="000E41BC">
      <w:r w:rsidRPr="002524A9">
        <w:t>What is the best offer for Apple to make when they get the opportunity</w:t>
      </w:r>
      <w:r w:rsidRPr="001635CC">
        <w:t>?</w:t>
      </w:r>
      <w:r w:rsidRPr="009520AF">
        <w:t xml:space="preserve"> Since Apple is making a take-it-or-leave-it offer they have all the bargaining power and will thus want to trade the efficient amount of glass, which here is </w:t>
      </w:r>
      <w:r w:rsidRPr="00C60C91">
        <w:t>one unit</w:t>
      </w:r>
      <w:r w:rsidRPr="009520AF">
        <w:t>. Apple, possessing all the bargaining power, will extract Corning’s entire surplus. This leaves Corning indifferent between the default option and accepting Apple’s offer. Corning will thus anticipate getting the same payoff as under the default option, whatever happens.</w:t>
      </w:r>
    </w:p>
    <w:p w14:paraId="17DAA472" w14:textId="77777777" w:rsidR="000E41BC" w:rsidRPr="009520AF" w:rsidRDefault="000E41BC" w:rsidP="000E41BC">
      <w:r w:rsidRPr="002524A9">
        <w:t>Now work backwards, and consider Corning’s decision whether to invest at the earlier stage</w:t>
      </w:r>
      <w:r w:rsidRPr="001635CC">
        <w:t>.</w:t>
      </w:r>
      <w:r w:rsidRPr="009520AF">
        <w:t xml:space="preserve"> If Corning invests they get a payoff equal to $23 1/3 − (5/6) × $10 − $5 = $10 (the price minus probability of trade multiplied by the cost of production, minus the investment cost). If Corning does not invest they get a payoff equal to $23 1/3 − (5/6) × $16 = $10. So, Corning is willing to invest.</w:t>
      </w:r>
      <w:r w:rsidRPr="009520AF">
        <w:rPr>
          <w:rStyle w:val="FootnoteReference"/>
        </w:rPr>
        <w:footnoteReference w:id="41"/>
      </w:r>
    </w:p>
    <w:p w14:paraId="39E379F6" w14:textId="77777777" w:rsidR="000E41BC" w:rsidRPr="009520AF" w:rsidRDefault="000E41BC" w:rsidP="000E41BC">
      <w:r w:rsidRPr="002524A9">
        <w:lastRenderedPageBreak/>
        <w:t>Now consider Apple, who is the residual claimant on their investment</w:t>
      </w:r>
      <w:r w:rsidRPr="001635CC">
        <w:t>.</w:t>
      </w:r>
      <w:r w:rsidRPr="009520AF">
        <w:t xml:space="preserve"> They obtain $8 if they make the investment, but bear a cost of just $5. So, Apple also makes the efficient investment. Thus, total surplus is $40 − $10 − $5 − $5 = $20. Remarkably, this is the first best—the same as if Apple and Corning could contract on all relevant contingencies.</w:t>
      </w:r>
    </w:p>
    <w:p w14:paraId="66CAB652" w14:textId="77777777" w:rsidR="000E41BC" w:rsidRPr="009520AF" w:rsidRDefault="000E41BC" w:rsidP="000E41BC">
      <w:r w:rsidRPr="002524A9">
        <w:t>It is, at first glance, rather surprising that Corning finds it optimal to invest despite having none of the bargaining power in the renegotiation</w:t>
      </w:r>
      <w:r w:rsidRPr="001635CC">
        <w:t>.</w:t>
      </w:r>
      <w:r w:rsidRPr="009520AF">
        <w:t xml:space="preserve"> The key is their ability to reject Apple’s offer and trigger trade under the terms of the default option. The default option becomes more appealing when the glass is low cost, which happens precisely when Corning invests. In other words, the presence of the default option makes Corning’s payoff sensitive to their investment.</w:t>
      </w:r>
    </w:p>
    <w:p w14:paraId="09C14D78" w14:textId="77777777" w:rsidR="000E41BC" w:rsidRDefault="000E41BC" w:rsidP="000E41BC"/>
    <w:p w14:paraId="57C5BABA" w14:textId="77777777" w:rsidR="000E41BC" w:rsidRDefault="000E41BC" w:rsidP="00155C53">
      <w:pPr>
        <w:pStyle w:val="Heading2"/>
      </w:pPr>
      <w:bookmarkStart w:id="17" w:name="_Ref508874728"/>
      <w:bookmarkStart w:id="18" w:name="_Toc508877631"/>
      <w:r>
        <w:t>Mechanisms to address non-verifiability more generally</w:t>
      </w:r>
      <w:bookmarkEnd w:id="17"/>
      <w:bookmarkEnd w:id="18"/>
    </w:p>
    <w:p w14:paraId="57994C02" w14:textId="77777777" w:rsidR="00E0401E" w:rsidRPr="001635CC" w:rsidRDefault="000E41BC" w:rsidP="00616ECB">
      <w:r w:rsidRPr="002524A9">
        <w:t>So far</w:t>
      </w:r>
      <w:r w:rsidR="001635CC" w:rsidRPr="002524A9">
        <w:t>,</w:t>
      </w:r>
      <w:r w:rsidRPr="002524A9">
        <w:t xml:space="preserve"> we have </w:t>
      </w:r>
      <w:r w:rsidR="00616ECB" w:rsidRPr="002524A9">
        <w:t>examined the problem of hold-up when the parties make relationship-specific investments, like Alaska Packer’s chartering of a ship to take plaintiff fisherm</w:t>
      </w:r>
      <w:r w:rsidR="001635CC" w:rsidRPr="002524A9">
        <w:t>e</w:t>
      </w:r>
      <w:r w:rsidR="00616ECB" w:rsidRPr="002524A9">
        <w:t>n to Alaska</w:t>
      </w:r>
      <w:r w:rsidR="001635CC" w:rsidRPr="002524A9">
        <w:t>,</w:t>
      </w:r>
      <w:r w:rsidR="00616ECB" w:rsidRPr="002524A9">
        <w:t xml:space="preserve"> or in our Apple and Corning example.  However, there may be important ex-post inefficiencies that arise from the inability to write complete, state-contingent contracts even in the absence of rel</w:t>
      </w:r>
      <w:r w:rsidR="00E0401E" w:rsidRPr="002524A9">
        <w:t>ationship-specific investments</w:t>
      </w:r>
      <w:r w:rsidR="00E0401E" w:rsidRPr="001635CC">
        <w:t xml:space="preserve">.  </w:t>
      </w:r>
    </w:p>
    <w:p w14:paraId="2F05CBC8" w14:textId="77777777" w:rsidR="00E0401E" w:rsidRDefault="00616ECB" w:rsidP="00616ECB">
      <w:r>
        <w:t>The economics literature has only recently made progress in providing formal models of such ex-post inefficiencies, typically through the use of ingredients from social psychology such as “reference points”.</w:t>
      </w:r>
      <w:r w:rsidR="00DB62D5">
        <w:rPr>
          <w:rStyle w:val="FootnoteReference"/>
        </w:rPr>
        <w:footnoteReference w:id="42"/>
      </w:r>
      <w:r>
        <w:t xml:space="preserve"> </w:t>
      </w:r>
      <w:r w:rsidR="00E0401E">
        <w:t xml:space="preserve">We will not delve into those formal models here.  </w:t>
      </w:r>
      <w:r w:rsidRPr="00E0401E">
        <w:t>However, we do highlight solutions to these ex-post inefficiencies that do not restructure renegotiation so much as get the parties to truthfully report non-verifiable information to the court, making that information verifiable.</w:t>
      </w:r>
      <w:r w:rsidR="00E0401E" w:rsidRPr="00E0401E">
        <w:t xml:space="preserve">  </w:t>
      </w:r>
    </w:p>
    <w:p w14:paraId="0C679672" w14:textId="77777777" w:rsidR="00616ECB" w:rsidRPr="009520AF" w:rsidRDefault="00616ECB" w:rsidP="00616ECB">
      <w:r w:rsidRPr="009520AF">
        <w:t xml:space="preserve">Beginning with </w:t>
      </w:r>
      <w:r w:rsidR="00DB62D5">
        <w:t xml:space="preserve">Professor </w:t>
      </w:r>
      <w:proofErr w:type="spellStart"/>
      <w:r w:rsidRPr="009520AF">
        <w:t>Maskin</w:t>
      </w:r>
      <w:proofErr w:type="spellEnd"/>
      <w:r w:rsidRPr="009520AF">
        <w:t xml:space="preserve"> (1977),</w:t>
      </w:r>
      <w:r w:rsidR="00B52AD1">
        <w:rPr>
          <w:rStyle w:val="FootnoteReference"/>
        </w:rPr>
        <w:footnoteReference w:id="43"/>
      </w:r>
      <w:r w:rsidRPr="009520AF">
        <w:t xml:space="preserve"> a large literature has explored how carefully crafted mechanisms that require players to make announcements, and face payoffs dependent on those announcements, may be able to cause </w:t>
      </w:r>
      <w:r>
        <w:t xml:space="preserve">information observable to players but not to outsiders </w:t>
      </w:r>
      <w:r w:rsidRPr="009520AF">
        <w:t xml:space="preserve">to </w:t>
      </w:r>
      <w:r w:rsidRPr="009520AF">
        <w:rPr>
          <w:i/>
        </w:rPr>
        <w:t>become</w:t>
      </w:r>
      <w:r w:rsidRPr="009520AF">
        <w:t xml:space="preserve"> </w:t>
      </w:r>
      <w:r>
        <w:t>observable and th</w:t>
      </w:r>
      <w:r w:rsidR="00E0401E">
        <w:t>u</w:t>
      </w:r>
      <w:r>
        <w:t xml:space="preserve">s </w:t>
      </w:r>
      <w:r w:rsidRPr="009520AF">
        <w:t>verifiable</w:t>
      </w:r>
      <w:r>
        <w:t xml:space="preserve"> by outsiders</w:t>
      </w:r>
      <w:r w:rsidRPr="009520AF">
        <w:t>.</w:t>
      </w:r>
      <w:r w:rsidR="00E0401E">
        <w:t xml:space="preserve">  </w:t>
      </w:r>
      <w:r w:rsidRPr="009520AF">
        <w:t>This is particularl</w:t>
      </w:r>
      <w:r w:rsidR="00E0401E">
        <w:t xml:space="preserve">y useful in the hold-up setting </w:t>
      </w:r>
      <w:r w:rsidRPr="009520AF">
        <w:t>because once the parties know that the true state will be revealed then</w:t>
      </w:r>
      <w:r w:rsidR="00E0401E">
        <w:t xml:space="preserve">, then they can </w:t>
      </w:r>
      <w:r w:rsidR="00E0401E" w:rsidRPr="00E0401E">
        <w:rPr>
          <w:i/>
        </w:rPr>
        <w:t>ex ante</w:t>
      </w:r>
      <w:r w:rsidR="00E0401E">
        <w:t xml:space="preserve"> contract on </w:t>
      </w:r>
      <m:oMath>
        <m:r>
          <w:rPr>
            <w:rFonts w:ascii="Cambria Math" w:hAnsi="Cambria Math"/>
          </w:rPr>
          <m:t>v</m:t>
        </m:r>
      </m:oMath>
      <w:r w:rsidR="00E0401E">
        <w:t xml:space="preserve"> or </w:t>
      </w:r>
      <m:oMath>
        <m:r>
          <w:rPr>
            <w:rFonts w:ascii="Cambria Math" w:hAnsi="Cambria Math"/>
          </w:rPr>
          <m:t>c</m:t>
        </m:r>
      </m:oMath>
      <w:r w:rsidR="00E0401E">
        <w:t>, even if they cannot contract on relationship specific investments per se.</w:t>
      </w:r>
      <w:r w:rsidR="0077162A">
        <w:rPr>
          <w:rStyle w:val="FootnoteReference"/>
        </w:rPr>
        <w:footnoteReference w:id="44"/>
      </w:r>
    </w:p>
    <w:p w14:paraId="7D033E45" w14:textId="77777777" w:rsidR="00616ECB" w:rsidRPr="009520AF" w:rsidRDefault="00616ECB" w:rsidP="00616ECB">
      <w:r w:rsidRPr="009520AF">
        <w:t xml:space="preserve">An illustration of </w:t>
      </w:r>
      <w:r w:rsidR="00E0401E">
        <w:t xml:space="preserve">Professor </w:t>
      </w:r>
      <w:proofErr w:type="spellStart"/>
      <w:r w:rsidRPr="009520AF">
        <w:t>Maskin’s</w:t>
      </w:r>
      <w:proofErr w:type="spellEnd"/>
      <w:r w:rsidRPr="009520AF">
        <w:t xml:space="preserve"> theorem in the Apple-Corning setting is as follows. To </w:t>
      </w:r>
      <w:r w:rsidR="00E0401E">
        <w:t xml:space="preserve">make </w:t>
      </w:r>
      <w:r w:rsidRPr="009520AF">
        <w:t xml:space="preserve">Apple’s value </w:t>
      </w:r>
      <m:oMath>
        <m:r>
          <w:rPr>
            <w:rFonts w:ascii="Cambria Math" w:hAnsi="Cambria Math"/>
          </w:rPr>
          <m:t>v</m:t>
        </m:r>
      </m:oMath>
      <w:r w:rsidR="00E0401E">
        <w:t xml:space="preserve"> –</w:t>
      </w:r>
      <w:r w:rsidRPr="009520AF">
        <w:t xml:space="preserve"> which both Apple and Corning know once it is realized</w:t>
      </w:r>
      <w:r w:rsidR="00E0401E">
        <w:t xml:space="preserve"> – verifiable to a court, </w:t>
      </w:r>
      <w:r w:rsidRPr="009520AF">
        <w:t xml:space="preserve">each party is asked to simultaneously announce 40 or 32. The mechanism specifies that if both parties agree in their announcement then that is the stipulated value of </w:t>
      </w:r>
      <m:oMath>
        <m:r>
          <w:rPr>
            <w:rFonts w:ascii="Cambria Math" w:hAnsi="Cambria Math"/>
          </w:rPr>
          <m:t>v</m:t>
        </m:r>
      </m:oMath>
      <w:r w:rsidRPr="009520AF">
        <w:t>. If the parties disagree then each pays a very large fine to a third party.</w:t>
      </w:r>
    </w:p>
    <w:p w14:paraId="0078D960" w14:textId="77777777" w:rsidR="00616ECB" w:rsidRPr="009520AF" w:rsidRDefault="00616ECB" w:rsidP="00616ECB">
      <w:r w:rsidRPr="009520AF">
        <w:t xml:space="preserve">It is straightforward to see that both Apple and Corning announcing truthfully is a Nash equilibrium. Suppose </w:t>
      </w:r>
      <m:oMath>
        <m:r>
          <w:rPr>
            <w:rFonts w:ascii="Cambria Math" w:hAnsi="Cambria Math"/>
          </w:rPr>
          <m:t>v</m:t>
        </m:r>
      </m:oMath>
      <w:r w:rsidRPr="009520AF">
        <w:t xml:space="preserve"> is actually 40. Conditional on Apple announcing “40”, the Corning’s best response is to </w:t>
      </w:r>
      <w:r w:rsidRPr="009520AF">
        <w:lastRenderedPageBreak/>
        <w:t xml:space="preserve">announce “40” as they avoid the large fine. Unfortunately, both parties not announcing truthfully is also a Nash equilibrium. Suppose again that </w:t>
      </w:r>
      <m:oMath>
        <m:r>
          <w:rPr>
            <w:rFonts w:ascii="Cambria Math" w:hAnsi="Cambria Math"/>
          </w:rPr>
          <m:t>v</m:t>
        </m:r>
      </m:oMath>
      <w:r w:rsidRPr="009520AF">
        <w:t xml:space="preserve"> is actually 40. Conditional on Apple announcing “</w:t>
      </w:r>
      <w:r w:rsidR="00E0401E">
        <w:t>32</w:t>
      </w:r>
      <w:r w:rsidRPr="009520AF">
        <w:t>” the best response of Corning is to announce “32” to avoid the fine.</w:t>
      </w:r>
    </w:p>
    <w:p w14:paraId="7C2C1CD5" w14:textId="32E6C952" w:rsidR="00616ECB" w:rsidRPr="009520AF" w:rsidRDefault="00616ECB" w:rsidP="00616ECB">
      <w:r w:rsidRPr="009520AF">
        <w:t xml:space="preserve">Troubled by this multiplicity of equilibrium, Moore and </w:t>
      </w:r>
      <w:proofErr w:type="spellStart"/>
      <w:r w:rsidRPr="009520AF">
        <w:t>Repullo</w:t>
      </w:r>
      <w:proofErr w:type="spellEnd"/>
      <w:r w:rsidRPr="009520AF">
        <w:t xml:space="preserve"> (1988) show that by using a multi-stage mechanism</w:t>
      </w:r>
      <w:r w:rsidR="00430DE4">
        <w:t>, set forth in Appendix II,</w:t>
      </w:r>
      <w:r w:rsidRPr="009520AF">
        <w:t xml:space="preserve"> it is possible to implement any social objective as the unique (subgame-perfect) equilibrium</w:t>
      </w:r>
      <w:r w:rsidR="001635CC">
        <w:t xml:space="preserve"> of the game induced by that mechanism</w:t>
      </w:r>
      <w:r w:rsidRPr="009520AF">
        <w:t>.</w:t>
      </w:r>
      <w:bookmarkStart w:id="19" w:name="_Ref494634891"/>
      <w:r w:rsidR="00B52AD1">
        <w:rPr>
          <w:rStyle w:val="FootnoteReference"/>
        </w:rPr>
        <w:footnoteReference w:id="45"/>
      </w:r>
      <w:bookmarkEnd w:id="19"/>
      <w:r w:rsidR="00E0401E">
        <w:t xml:space="preserve">  </w:t>
      </w:r>
    </w:p>
    <w:p w14:paraId="435B22D2" w14:textId="77777777" w:rsidR="00616ECB" w:rsidRDefault="00616ECB" w:rsidP="00616ECB"/>
    <w:p w14:paraId="1A53AD7B" w14:textId="5A683274" w:rsidR="00E0401E" w:rsidRDefault="00CC6FBE" w:rsidP="00155C53">
      <w:pPr>
        <w:pStyle w:val="Heading2"/>
      </w:pPr>
      <w:bookmarkStart w:id="20" w:name="_Ref494706746"/>
      <w:bookmarkStart w:id="21" w:name="_Toc508877632"/>
      <w:r>
        <w:t xml:space="preserve">Information </w:t>
      </w:r>
      <w:r w:rsidR="00E0401E">
        <w:t>problem</w:t>
      </w:r>
      <w:r>
        <w:t>s</w:t>
      </w:r>
      <w:bookmarkEnd w:id="20"/>
      <w:r w:rsidR="00430DE4">
        <w:t xml:space="preserve"> that hamper mechanisms</w:t>
      </w:r>
      <w:bookmarkEnd w:id="21"/>
    </w:p>
    <w:p w14:paraId="1732FD56" w14:textId="622C4379" w:rsidR="006D4749" w:rsidRDefault="00E0401E" w:rsidP="00E0401E">
      <w:r w:rsidRPr="007803C6">
        <w:t>Rarely, if ever, are the renegotiation design or the revelation mechanisms described above seen in practice</w:t>
      </w:r>
      <w:r w:rsidRPr="001635CC">
        <w:t>.</w:t>
      </w:r>
      <w:r w:rsidR="00FC540C">
        <w:rPr>
          <w:rStyle w:val="FootnoteReference"/>
        </w:rPr>
        <w:footnoteReference w:id="46"/>
      </w:r>
      <w:r w:rsidRPr="001635CC">
        <w:t xml:space="preserve"> </w:t>
      </w:r>
      <w:r w:rsidRPr="007803C6">
        <w:t>This begs the question: why not?</w:t>
      </w:r>
      <w:r w:rsidRPr="009520AF">
        <w:t xml:space="preserve"> </w:t>
      </w:r>
      <w:r>
        <w:t xml:space="preserve"> </w:t>
      </w:r>
      <w:r w:rsidR="006D4749">
        <w:t>One reason may be that these mechanisms seem too complex to implement</w:t>
      </w:r>
      <w:r w:rsidR="00AE4D24">
        <w:t xml:space="preserve"> as they </w:t>
      </w:r>
      <w:r w:rsidR="006D4749">
        <w:t>require two</w:t>
      </w:r>
      <w:r w:rsidR="00AE4D24">
        <w:t xml:space="preserve"> or three </w:t>
      </w:r>
      <w:r w:rsidR="006D4749">
        <w:t>stage</w:t>
      </w:r>
      <w:r w:rsidR="00AE4D24">
        <w:t>s</w:t>
      </w:r>
      <w:r w:rsidR="006D4749">
        <w:t xml:space="preserve"> </w:t>
      </w:r>
      <w:r w:rsidR="00AE4D24">
        <w:t xml:space="preserve">of structured </w:t>
      </w:r>
      <w:r w:rsidR="006D4749">
        <w:t xml:space="preserve">bargaining.  Holden and Malani show that these hurdles cannot be too </w:t>
      </w:r>
      <w:r w:rsidR="000432F8">
        <w:t xml:space="preserve">large </w:t>
      </w:r>
      <w:r w:rsidR="006D4749">
        <w:t>because, while uncommon, procedures like the ADR mechanism can be found in</w:t>
      </w:r>
      <w:r w:rsidR="007500C7">
        <w:t>, e.g.,</w:t>
      </w:r>
      <w:r w:rsidR="006D4749">
        <w:t xml:space="preserve"> variable quantity contracts.</w:t>
      </w:r>
      <w:r w:rsidR="006D4749">
        <w:rPr>
          <w:rStyle w:val="FootnoteReference"/>
        </w:rPr>
        <w:footnoteReference w:id="47"/>
      </w:r>
      <w:r w:rsidR="006D4749">
        <w:t xml:space="preserve">  Moreover, even the multi-stage procedures in Moore</w:t>
      </w:r>
      <w:r w:rsidR="001635CC">
        <w:t>-</w:t>
      </w:r>
      <w:proofErr w:type="spellStart"/>
      <w:r w:rsidR="006D4749">
        <w:t>Repullo</w:t>
      </w:r>
      <w:proofErr w:type="spellEnd"/>
      <w:r w:rsidR="006D4749">
        <w:t xml:space="preserve"> mechanism</w:t>
      </w:r>
      <w:r w:rsidR="001635CC">
        <w:t>s</w:t>
      </w:r>
      <w:r w:rsidR="006D4749">
        <w:t xml:space="preserve"> are less complicated than </w:t>
      </w:r>
      <w:r w:rsidR="00AE4D24">
        <w:t xml:space="preserve">some arbitration procedures to which contractual parties agree, let alone </w:t>
      </w:r>
      <w:r w:rsidR="006D4749">
        <w:t xml:space="preserve">actual trials and the civil procedure rules that govern </w:t>
      </w:r>
      <w:r w:rsidR="00AE4D24">
        <w:t>contracts in the absence of arbitration provisions</w:t>
      </w:r>
      <w:r w:rsidR="006D4749">
        <w:t xml:space="preserve">.  </w:t>
      </w:r>
    </w:p>
    <w:p w14:paraId="1A2D81D2" w14:textId="77777777" w:rsidR="00CC6FBE" w:rsidRDefault="00CC6FBE" w:rsidP="0079625E">
      <w:pPr>
        <w:pStyle w:val="Heading3"/>
        <w:numPr>
          <w:ilvl w:val="0"/>
          <w:numId w:val="17"/>
        </w:numPr>
      </w:pPr>
      <w:bookmarkStart w:id="22" w:name="_Ref494706766"/>
      <w:r>
        <w:t>Uncertainty</w:t>
      </w:r>
      <w:bookmarkEnd w:id="22"/>
    </w:p>
    <w:p w14:paraId="5EDA03E5" w14:textId="58199394" w:rsidR="00CC6FBE" w:rsidRDefault="001F00E4" w:rsidP="00E0401E">
      <w:pPr>
        <w:rPr>
          <w:rFonts w:eastAsiaTheme="minorEastAsia"/>
        </w:rPr>
      </w:pPr>
      <w:r>
        <w:t xml:space="preserve">Another explanation for why </w:t>
      </w:r>
      <w:r w:rsidRPr="007803C6">
        <w:t xml:space="preserve">the aforementioned mechanisms </w:t>
      </w:r>
      <w:r>
        <w:t>are uncommon is the substantial information requirements of these mechanisms</w:t>
      </w:r>
      <w:r w:rsidRPr="001635CC">
        <w:t xml:space="preserve">.  </w:t>
      </w:r>
      <w:r w:rsidR="0077162A">
        <w:t xml:space="preserve">One piece of information </w:t>
      </w:r>
      <w:r>
        <w:t xml:space="preserve">required </w:t>
      </w:r>
      <w:r w:rsidR="0077162A">
        <w:t xml:space="preserve">is that the parties need to know the cost and payoffs to each type of investment to employ these mechanisms.  For example, both parties must know the cost of the Corning’s investment ($5) and the amount that it will reduce costs </w:t>
      </w:r>
      <m:oMath>
        <m:r>
          <w:rPr>
            <w:rFonts w:ascii="Cambria Math" w:hAnsi="Cambria Math"/>
          </w:rPr>
          <m:t>c</m:t>
        </m:r>
      </m:oMath>
      <w:r w:rsidR="0077162A">
        <w:rPr>
          <w:rFonts w:eastAsiaTheme="minorEastAsia"/>
        </w:rPr>
        <w:t xml:space="preserve"> (from $16 to $10) in order to set the default option (trade of 5/16 a unit for $23 1/3).  Often these numbers are uncertain.  In that case, the parties cannot precisely structure the mechanism, which in turn means that the mechanism</w:t>
      </w:r>
      <w:r w:rsidR="00CC6FBE">
        <w:rPr>
          <w:rFonts w:eastAsiaTheme="minorEastAsia"/>
        </w:rPr>
        <w:t xml:space="preserve"> may not always deter </w:t>
      </w:r>
      <w:r w:rsidR="00485CB8">
        <w:rPr>
          <w:rFonts w:eastAsiaTheme="minorEastAsia"/>
        </w:rPr>
        <w:t>hold-up</w:t>
      </w:r>
      <w:r w:rsidR="00CC6FBE">
        <w:rPr>
          <w:rFonts w:eastAsiaTheme="minorEastAsia"/>
        </w:rPr>
        <w:t xml:space="preserve">.  </w:t>
      </w:r>
    </w:p>
    <w:p w14:paraId="6CD44147" w14:textId="5C14318E" w:rsidR="0077162A" w:rsidRDefault="00CC6FBE" w:rsidP="00E0401E">
      <w:pPr>
        <w:rPr>
          <w:rFonts w:eastAsiaTheme="minorEastAsia"/>
        </w:rPr>
      </w:pPr>
      <w:r>
        <w:rPr>
          <w:rFonts w:eastAsiaTheme="minorEastAsia"/>
        </w:rPr>
        <w:t xml:space="preserve">If this sort of uncertainty looms large, the parties can only avoid renegotiation by foregoing renegotiation </w:t>
      </w:r>
      <w:r w:rsidR="001F00E4">
        <w:rPr>
          <w:rFonts w:eastAsiaTheme="minorEastAsia"/>
        </w:rPr>
        <w:t xml:space="preserve">of their original contract </w:t>
      </w:r>
      <w:r>
        <w:rPr>
          <w:rFonts w:eastAsiaTheme="minorEastAsia"/>
        </w:rPr>
        <w:t>altogether</w:t>
      </w:r>
      <w:r w:rsidR="001F00E4">
        <w:rPr>
          <w:rFonts w:eastAsiaTheme="minorEastAsia"/>
        </w:rPr>
        <w:t xml:space="preserve">.  We will discuss how this might be achieved without and with blockchain in Sections </w:t>
      </w:r>
      <w:r w:rsidR="001F00E4">
        <w:rPr>
          <w:rFonts w:eastAsiaTheme="minorEastAsia"/>
        </w:rPr>
        <w:fldChar w:fldCharType="begin"/>
      </w:r>
      <w:r w:rsidR="001F00E4">
        <w:rPr>
          <w:rFonts w:eastAsiaTheme="minorEastAsia"/>
        </w:rPr>
        <w:instrText xml:space="preserve"> REF _Ref494438588 \w \h </w:instrText>
      </w:r>
      <w:r w:rsidR="001F00E4">
        <w:rPr>
          <w:rFonts w:eastAsiaTheme="minorEastAsia"/>
        </w:rPr>
      </w:r>
      <w:r w:rsidR="001F00E4">
        <w:rPr>
          <w:rFonts w:eastAsiaTheme="minorEastAsia"/>
        </w:rPr>
        <w:fldChar w:fldCharType="separate"/>
      </w:r>
      <w:r w:rsidR="001F75CE">
        <w:rPr>
          <w:rFonts w:eastAsiaTheme="minorEastAsia"/>
        </w:rPr>
        <w:t>III</w:t>
      </w:r>
      <w:r w:rsidR="001F00E4">
        <w:rPr>
          <w:rFonts w:eastAsiaTheme="minorEastAsia"/>
        </w:rPr>
        <w:fldChar w:fldCharType="end"/>
      </w:r>
      <w:r w:rsidR="001F00E4">
        <w:rPr>
          <w:rFonts w:eastAsiaTheme="minorEastAsia"/>
        </w:rPr>
        <w:t xml:space="preserve"> and </w:t>
      </w:r>
      <w:r w:rsidR="001F00E4">
        <w:rPr>
          <w:rFonts w:eastAsiaTheme="minorEastAsia"/>
        </w:rPr>
        <w:fldChar w:fldCharType="begin"/>
      </w:r>
      <w:r w:rsidR="001F00E4">
        <w:rPr>
          <w:rFonts w:eastAsiaTheme="minorEastAsia"/>
        </w:rPr>
        <w:instrText xml:space="preserve"> REF _Ref494438608 \w \h </w:instrText>
      </w:r>
      <w:r w:rsidR="001F00E4">
        <w:rPr>
          <w:rFonts w:eastAsiaTheme="minorEastAsia"/>
        </w:rPr>
      </w:r>
      <w:r w:rsidR="001F00E4">
        <w:rPr>
          <w:rFonts w:eastAsiaTheme="minorEastAsia"/>
        </w:rPr>
        <w:fldChar w:fldCharType="separate"/>
      </w:r>
      <w:r w:rsidR="001F75CE">
        <w:rPr>
          <w:rFonts w:eastAsiaTheme="minorEastAsia"/>
        </w:rPr>
        <w:t>V</w:t>
      </w:r>
      <w:r w:rsidR="001F00E4">
        <w:rPr>
          <w:rFonts w:eastAsiaTheme="minorEastAsia"/>
        </w:rPr>
        <w:fldChar w:fldCharType="end"/>
      </w:r>
      <w:r w:rsidR="001F00E4">
        <w:rPr>
          <w:rFonts w:eastAsiaTheme="minorEastAsia"/>
        </w:rPr>
        <w:t xml:space="preserve">, respectively.  The downside of this approach is that parties lack the flexibility to renegotiate where there is no hold-up but there are changed circumstances such that both parties would benefit from a different bargain than the original contract.  </w:t>
      </w:r>
    </w:p>
    <w:p w14:paraId="25D93FE0" w14:textId="77777777" w:rsidR="00CC6FBE" w:rsidRDefault="00CC6FBE" w:rsidP="0079625E">
      <w:pPr>
        <w:pStyle w:val="Heading3"/>
        <w:numPr>
          <w:ilvl w:val="0"/>
          <w:numId w:val="17"/>
        </w:numPr>
      </w:pPr>
      <w:bookmarkStart w:id="23" w:name="_Ref494706750"/>
      <w:r>
        <w:t>Information asymmetry</w:t>
      </w:r>
      <w:bookmarkEnd w:id="23"/>
    </w:p>
    <w:p w14:paraId="1A742A40" w14:textId="77777777" w:rsidR="00517727" w:rsidRDefault="001F00E4" w:rsidP="00E0401E">
      <w:r>
        <w:t xml:space="preserve">A different sort of problem arises if there is information asymmetry between the parties.  </w:t>
      </w:r>
      <w:r w:rsidR="00E0401E" w:rsidRPr="007803C6">
        <w:t xml:space="preserve">Professors </w:t>
      </w:r>
      <w:proofErr w:type="spellStart"/>
      <w:r w:rsidR="00E0401E" w:rsidRPr="007803C6">
        <w:t>Aghion</w:t>
      </w:r>
      <w:proofErr w:type="spellEnd"/>
      <w:r w:rsidR="00E0401E" w:rsidRPr="007803C6">
        <w:t xml:space="preserve">, </w:t>
      </w:r>
      <w:proofErr w:type="spellStart"/>
      <w:r w:rsidR="00E0401E" w:rsidRPr="007803C6">
        <w:t>Fudenberg</w:t>
      </w:r>
      <w:proofErr w:type="spellEnd"/>
      <w:r w:rsidR="00E0401E" w:rsidRPr="007803C6">
        <w:t xml:space="preserve">, Holden, </w:t>
      </w:r>
      <w:proofErr w:type="spellStart"/>
      <w:r w:rsidR="00E0401E" w:rsidRPr="007803C6">
        <w:t>Kunimoto</w:t>
      </w:r>
      <w:proofErr w:type="spellEnd"/>
      <w:r w:rsidR="00E0401E" w:rsidRPr="007803C6">
        <w:t xml:space="preserve"> and </w:t>
      </w:r>
      <w:proofErr w:type="spellStart"/>
      <w:r w:rsidR="00E0401E" w:rsidRPr="007803C6">
        <w:t>Tercieux</w:t>
      </w:r>
      <w:proofErr w:type="spellEnd"/>
      <w:r w:rsidR="00E0401E" w:rsidRPr="007803C6">
        <w:t xml:space="preserve"> (2012) argue</w:t>
      </w:r>
      <w:r w:rsidR="00C6418D" w:rsidRPr="007803C6">
        <w:t>, theoretically,</w:t>
      </w:r>
      <w:r w:rsidR="00E0401E" w:rsidRPr="007803C6">
        <w:t xml:space="preserve"> that </w:t>
      </w:r>
      <w:r w:rsidR="00AE4D24" w:rsidRPr="007803C6">
        <w:t xml:space="preserve">complex </w:t>
      </w:r>
      <w:r w:rsidR="00E0401E" w:rsidRPr="007803C6">
        <w:t>mechanisms are not robust to small perturbations from common knowledge</w:t>
      </w:r>
      <w:r w:rsidR="00E0401E" w:rsidRPr="00C152FF">
        <w:t>.</w:t>
      </w:r>
      <w:bookmarkStart w:id="24" w:name="_Ref494639894"/>
      <w:r w:rsidR="004851AE">
        <w:rPr>
          <w:rStyle w:val="FootnoteReference"/>
        </w:rPr>
        <w:footnoteReference w:id="48"/>
      </w:r>
      <w:bookmarkEnd w:id="24"/>
      <w:r w:rsidR="00E0401E">
        <w:t xml:space="preserve">  </w:t>
      </w:r>
      <w:r w:rsidR="00E0401E" w:rsidRPr="00517727">
        <w:t xml:space="preserve">We will not go into </w:t>
      </w:r>
      <w:r w:rsidR="00AE4D24">
        <w:t xml:space="preserve">the </w:t>
      </w:r>
      <w:r w:rsidR="00E0401E" w:rsidRPr="00517727">
        <w:t xml:space="preserve">intricate details </w:t>
      </w:r>
      <w:r w:rsidR="00AE4D24">
        <w:t xml:space="preserve">of their logic </w:t>
      </w:r>
      <w:r w:rsidR="00E0401E" w:rsidRPr="00517727">
        <w:t xml:space="preserve">here, but their </w:t>
      </w:r>
      <w:r w:rsidR="00AE4D24">
        <w:t xml:space="preserve">claim </w:t>
      </w:r>
      <w:r w:rsidR="00E0401E" w:rsidRPr="00517727">
        <w:t xml:space="preserve">hinges on the observation that </w:t>
      </w:r>
      <w:r w:rsidR="00C6418D" w:rsidRPr="00517727">
        <w:t xml:space="preserve">the above </w:t>
      </w:r>
      <w:r w:rsidR="00E0401E" w:rsidRPr="00517727">
        <w:t xml:space="preserve">mechanisms </w:t>
      </w:r>
      <w:r w:rsidR="00E0401E" w:rsidRPr="00517727">
        <w:lastRenderedPageBreak/>
        <w:t xml:space="preserve">implicitly assume </w:t>
      </w:r>
      <w:r w:rsidR="00C6418D" w:rsidRPr="00517727">
        <w:t xml:space="preserve">not just that </w:t>
      </w:r>
      <w:r w:rsidR="00E0401E" w:rsidRPr="00517727">
        <w:t>the state of nature is observable to the contracting parties</w:t>
      </w:r>
      <w:r w:rsidR="00C6418D" w:rsidRPr="00517727">
        <w:t xml:space="preserve">, but that </w:t>
      </w:r>
      <w:r w:rsidR="00E0401E" w:rsidRPr="00517727">
        <w:t xml:space="preserve">it is </w:t>
      </w:r>
      <w:r w:rsidR="00C6418D" w:rsidRPr="00517727">
        <w:t xml:space="preserve">also </w:t>
      </w:r>
      <w:r w:rsidR="00E0401E" w:rsidRPr="007803C6">
        <w:rPr>
          <w:i/>
        </w:rPr>
        <w:t>common knowledge</w:t>
      </w:r>
      <w:r w:rsidR="00E0401E" w:rsidRPr="00517727">
        <w:t xml:space="preserve"> among the contracting parties.</w:t>
      </w:r>
      <w:r w:rsidR="00E0401E" w:rsidRPr="009520AF">
        <w:t xml:space="preserve"> </w:t>
      </w:r>
      <w:r w:rsidR="00C6418D">
        <w:t xml:space="preserve">In other words, </w:t>
      </w:r>
      <w:r w:rsidR="00AE4D24">
        <w:t xml:space="preserve">the mechanisms </w:t>
      </w:r>
      <w:r w:rsidR="00C6418D">
        <w:t xml:space="preserve">assume that Apple and Corning not only observe </w:t>
      </w:r>
      <m:oMath>
        <m:r>
          <w:rPr>
            <w:rFonts w:ascii="Cambria Math" w:hAnsi="Cambria Math"/>
          </w:rPr>
          <m:t>v</m:t>
        </m:r>
      </m:oMath>
      <w:r w:rsidR="00C6418D">
        <w:t xml:space="preserve"> and </w:t>
      </w:r>
      <m:oMath>
        <m:r>
          <w:rPr>
            <w:rFonts w:ascii="Cambria Math" w:hAnsi="Cambria Math"/>
          </w:rPr>
          <m:t>c</m:t>
        </m:r>
      </m:oMath>
      <w:r w:rsidR="00C6418D">
        <w:t xml:space="preserve">, but agree on what </w:t>
      </w:r>
      <m:oMath>
        <m:r>
          <w:rPr>
            <w:rFonts w:ascii="Cambria Math" w:hAnsi="Cambria Math"/>
          </w:rPr>
          <m:t>v</m:t>
        </m:r>
      </m:oMath>
      <w:r w:rsidR="00C6418D">
        <w:t xml:space="preserve"> and </w:t>
      </w:r>
      <m:oMath>
        <m:r>
          <w:rPr>
            <w:rFonts w:ascii="Cambria Math" w:hAnsi="Cambria Math"/>
          </w:rPr>
          <m:t>c</m:t>
        </m:r>
      </m:oMath>
      <w:r w:rsidR="00C6418D">
        <w:t xml:space="preserve"> are.</w:t>
      </w:r>
      <w:r w:rsidR="00C6418D">
        <w:rPr>
          <w:rStyle w:val="FootnoteReference"/>
        </w:rPr>
        <w:footnoteReference w:id="49"/>
      </w:r>
      <w:r w:rsidR="00C6418D">
        <w:t xml:space="preserve">  </w:t>
      </w:r>
    </w:p>
    <w:p w14:paraId="7585A3BA" w14:textId="77777777" w:rsidR="00517727" w:rsidRDefault="00AE4D24" w:rsidP="00E0401E">
      <w:proofErr w:type="spellStart"/>
      <w:r w:rsidRPr="007803C6">
        <w:t>Aghion</w:t>
      </w:r>
      <w:proofErr w:type="spellEnd"/>
      <w:r w:rsidRPr="007803C6">
        <w:t xml:space="preserve"> et al. </w:t>
      </w:r>
      <w:r w:rsidR="00E0401E" w:rsidRPr="007803C6">
        <w:t>then show that these mechanisms are not robust to an arbitrarily small perturbation away from common knowledge</w:t>
      </w:r>
      <w:r w:rsidR="00E0401E" w:rsidRPr="003E7994">
        <w:t>,</w:t>
      </w:r>
      <w:r w:rsidR="00E0401E">
        <w:t xml:space="preserve"> i.e., </w:t>
      </w:r>
      <w:r w:rsidR="00C6418D">
        <w:t xml:space="preserve">to </w:t>
      </w:r>
      <w:r w:rsidR="00E0401E">
        <w:t xml:space="preserve">Apple and Corning </w:t>
      </w:r>
      <w:r w:rsidR="00C6418D">
        <w:t xml:space="preserve">honestly </w:t>
      </w:r>
      <w:r w:rsidR="00E0401E">
        <w:t xml:space="preserve">disagreeing </w:t>
      </w:r>
      <w:r w:rsidR="00C6418D">
        <w:t xml:space="preserve">even slightly about </w:t>
      </w:r>
      <w:r w:rsidR="00E0401E">
        <w:t xml:space="preserve">the value of </w:t>
      </w:r>
      <m:oMath>
        <m:r>
          <w:rPr>
            <w:rFonts w:ascii="Cambria Math" w:hAnsi="Cambria Math"/>
          </w:rPr>
          <m:t>v</m:t>
        </m:r>
      </m:oMath>
      <w:r w:rsidR="00E0401E">
        <w:t xml:space="preserve"> or </w:t>
      </w:r>
      <m:oMath>
        <m:r>
          <w:rPr>
            <w:rFonts w:ascii="Cambria Math" w:hAnsi="Cambria Math"/>
          </w:rPr>
          <m:t>c</m:t>
        </m:r>
      </m:oMath>
      <w:r w:rsidR="00E0401E">
        <w:t>.</w:t>
      </w:r>
      <w:r w:rsidR="00E0401E" w:rsidRPr="009520AF">
        <w:t xml:space="preserve"> </w:t>
      </w:r>
      <w:r w:rsidR="00E0401E">
        <w:t xml:space="preserve"> </w:t>
      </w:r>
      <w:r w:rsidR="00E0401E" w:rsidRPr="00517727">
        <w:t xml:space="preserve">In this context, </w:t>
      </w:r>
      <w:r w:rsidR="00C6418D" w:rsidRPr="00517727">
        <w:t>two-stage renegotiation-design mechanisms like ADR may yield optimal trade and thus investment, but they may also yield equilibria with suboptimal trade and investment</w:t>
      </w:r>
      <w:r w:rsidR="00C6418D">
        <w:t xml:space="preserve">.  In other words, investment is not the unique equilibrium </w:t>
      </w:r>
      <w:r w:rsidR="003E7994">
        <w:t>of</w:t>
      </w:r>
      <w:r w:rsidR="00C6418D">
        <w:t xml:space="preserve"> those mechanisms.</w:t>
      </w:r>
      <w:r w:rsidR="004851AE">
        <w:rPr>
          <w:rStyle w:val="FootnoteReference"/>
        </w:rPr>
        <w:footnoteReference w:id="50"/>
      </w:r>
      <w:r w:rsidR="00C6418D">
        <w:t xml:space="preserve">  </w:t>
      </w:r>
    </w:p>
    <w:p w14:paraId="22E7058B" w14:textId="77777777" w:rsidR="00517727" w:rsidRDefault="00C6418D" w:rsidP="00E0401E">
      <w:r w:rsidRPr="007803C6">
        <w:t xml:space="preserve">Things get worse with more complicated, three-stage mechanisms such as </w:t>
      </w:r>
      <w:r w:rsidR="00AE4D24" w:rsidRPr="007803C6">
        <w:t xml:space="preserve">that of </w:t>
      </w:r>
      <w:r w:rsidRPr="007803C6">
        <w:t xml:space="preserve">Moore and </w:t>
      </w:r>
      <w:proofErr w:type="spellStart"/>
      <w:r w:rsidRPr="007803C6">
        <w:t>Repullo</w:t>
      </w:r>
      <w:proofErr w:type="spellEnd"/>
      <w:r w:rsidRPr="00AE3704">
        <w:t>.</w:t>
      </w:r>
      <w:r w:rsidR="004851AE">
        <w:rPr>
          <w:rStyle w:val="FootnoteReference"/>
        </w:rPr>
        <w:footnoteReference w:id="51"/>
      </w:r>
      <w:r>
        <w:t xml:space="preserve">  With those, arbitrarily small deviations from common knowledge causes not just the emergence of non-truth telling as an equilibrium, it causes truth-telling to no longer be an equilibrium.  </w:t>
      </w:r>
      <w:r w:rsidR="00517727">
        <w:t xml:space="preserve">In other words, the parties cannot even contract on </w:t>
      </w:r>
      <m:oMath>
        <m:r>
          <w:rPr>
            <w:rFonts w:ascii="Cambria Math" w:hAnsi="Cambria Math"/>
          </w:rPr>
          <m:t>v</m:t>
        </m:r>
      </m:oMath>
      <w:r w:rsidR="00517727">
        <w:t xml:space="preserve"> and </w:t>
      </w:r>
      <m:oMath>
        <m:r>
          <w:rPr>
            <w:rFonts w:ascii="Cambria Math" w:hAnsi="Cambria Math"/>
          </w:rPr>
          <m:t>c</m:t>
        </m:r>
      </m:oMath>
      <w:r w:rsidR="00517727">
        <w:t xml:space="preserve"> because they will </w:t>
      </w:r>
      <w:r w:rsidR="00AE3704">
        <w:t>n</w:t>
      </w:r>
      <w:r w:rsidR="00517727">
        <w:t>ever be truthfully revealed.</w:t>
      </w:r>
      <w:r w:rsidR="00517727">
        <w:rPr>
          <w:rStyle w:val="FootnoteReference"/>
        </w:rPr>
        <w:footnoteReference w:id="52"/>
      </w:r>
      <w:r w:rsidR="00517727">
        <w:t xml:space="preserve">  </w:t>
      </w:r>
    </w:p>
    <w:p w14:paraId="13CC596D" w14:textId="77777777" w:rsidR="00E0401E" w:rsidRDefault="00E0401E" w:rsidP="00E0401E">
      <w:r w:rsidRPr="007803C6">
        <w:t xml:space="preserve">Experimental evidence from </w:t>
      </w:r>
      <w:proofErr w:type="spellStart"/>
      <w:r w:rsidRPr="007803C6">
        <w:t>Aghion</w:t>
      </w:r>
      <w:proofErr w:type="spellEnd"/>
      <w:r w:rsidRPr="007803C6">
        <w:t xml:space="preserve">, Fehr, Holden and </w:t>
      </w:r>
      <w:proofErr w:type="spellStart"/>
      <w:r w:rsidRPr="007803C6">
        <w:t>Wilkening</w:t>
      </w:r>
      <w:proofErr w:type="spellEnd"/>
      <w:r w:rsidRPr="007803C6">
        <w:t xml:space="preserve"> (2017) supports </w:t>
      </w:r>
      <w:r w:rsidR="00517727" w:rsidRPr="007803C6">
        <w:t>this theoretical finding with respect to revelation mechanisms in particular</w:t>
      </w:r>
      <w:r w:rsidR="00AE4D24" w:rsidRPr="007803C6">
        <w:t>, but also offer</w:t>
      </w:r>
      <w:r w:rsidR="002F73F3" w:rsidRPr="007803C6">
        <w:t>s</w:t>
      </w:r>
      <w:r w:rsidR="00AE4D24" w:rsidRPr="007803C6">
        <w:t xml:space="preserve"> some hope</w:t>
      </w:r>
      <w:r w:rsidR="00517727" w:rsidRPr="002F73F3">
        <w:t>.</w:t>
      </w:r>
      <w:r w:rsidR="00517727">
        <w:t xml:space="preserve">  </w:t>
      </w:r>
      <w:r w:rsidR="00AE4D24">
        <w:t>T</w:t>
      </w:r>
      <w:r w:rsidRPr="009520AF">
        <w:t xml:space="preserve">hey show that </w:t>
      </w:r>
      <w:r w:rsidR="00AE4D24">
        <w:t xml:space="preserve">revelation mechanisms underperform due to asymmetric information, but that </w:t>
      </w:r>
      <w:r w:rsidRPr="009520AF">
        <w:t xml:space="preserve">the degree of underperformance </w:t>
      </w:r>
      <w:r w:rsidR="00AE4D24">
        <w:t xml:space="preserve">is proportional to degree of </w:t>
      </w:r>
      <w:r w:rsidRPr="009520AF">
        <w:t>asymmetric information.</w:t>
      </w:r>
      <w:bookmarkStart w:id="25" w:name="_Ref502138012"/>
      <w:r w:rsidR="009F6DD0">
        <w:rPr>
          <w:rStyle w:val="FootnoteReference"/>
        </w:rPr>
        <w:footnoteReference w:id="53"/>
      </w:r>
      <w:bookmarkEnd w:id="25"/>
      <w:r w:rsidR="00AE4D24">
        <w:t xml:space="preserve">  In other words, the less the information asymmetry, the b</w:t>
      </w:r>
      <w:r w:rsidR="003927B5">
        <w:t>etter the performance of revela</w:t>
      </w:r>
      <w:r w:rsidR="00AE4D24">
        <w:t>tion mechanisms, even though they do not achieve perfect truthfulness and thus maximal investment incentives.</w:t>
      </w:r>
    </w:p>
    <w:p w14:paraId="218F595B" w14:textId="77777777" w:rsidR="00517727" w:rsidRDefault="00517727" w:rsidP="00E0401E"/>
    <w:p w14:paraId="1363B8BA" w14:textId="7A6C3C55" w:rsidR="00517727" w:rsidRDefault="00062F44" w:rsidP="00297500">
      <w:pPr>
        <w:pStyle w:val="Heading1"/>
        <w:numPr>
          <w:ilvl w:val="0"/>
          <w:numId w:val="3"/>
        </w:numPr>
      </w:pPr>
      <w:bookmarkStart w:id="26" w:name="_Ref508808310"/>
      <w:bookmarkStart w:id="27" w:name="_Ref494438588"/>
      <w:bookmarkStart w:id="28" w:name="_Toc508877633"/>
      <w:r>
        <w:t xml:space="preserve">POSSIBLE </w:t>
      </w:r>
      <w:r w:rsidR="00297500">
        <w:t>SOLUTIONS TO THE HOLD-UP PROBLEM</w:t>
      </w:r>
      <w:bookmarkEnd w:id="26"/>
      <w:bookmarkEnd w:id="28"/>
      <w:r w:rsidR="00297500">
        <w:t xml:space="preserve"> </w:t>
      </w:r>
      <w:bookmarkEnd w:id="27"/>
    </w:p>
    <w:p w14:paraId="73B261AD" w14:textId="0E4BFB58" w:rsidR="003927B5" w:rsidRDefault="00A43E01" w:rsidP="003927B5">
      <w:r w:rsidRPr="007803C6">
        <w:t>There are a number of ways that parties and courts can, in practice, address the problem of hold-up, though each approach has its shortcomings</w:t>
      </w:r>
      <w:r w:rsidRPr="002F73F3">
        <w:t>.</w:t>
      </w:r>
      <w:r w:rsidR="00062F44">
        <w:t xml:space="preserve">  We will first discuss what role courts can play, in order to review doctrinal response</w:t>
      </w:r>
      <w:r w:rsidR="00D03CAE">
        <w:t>s</w:t>
      </w:r>
      <w:r w:rsidR="00062F44">
        <w:t xml:space="preserve"> to the risk of hold-up during contract modifications.  </w:t>
      </w:r>
      <w:r w:rsidR="00D03CAE">
        <w:t xml:space="preserve">Nearly all either fail to allow efficient modifications or permit hold-up, or require knowledge of facts that may not be verifiable to a court.  </w:t>
      </w:r>
      <w:r w:rsidR="00062F44">
        <w:t xml:space="preserve">We will then discuss private </w:t>
      </w:r>
      <w:r w:rsidR="002E0E6B">
        <w:t>solutions that can be employed without smart contracts on the blockch</w:t>
      </w:r>
      <w:r w:rsidR="00D03CAE">
        <w:t>ai</w:t>
      </w:r>
      <w:r w:rsidR="002E0E6B">
        <w:t>n</w:t>
      </w:r>
      <w:r w:rsidR="00D03CAE">
        <w:t xml:space="preserve"> and their limitations.  </w:t>
      </w:r>
    </w:p>
    <w:p w14:paraId="195711E0" w14:textId="77777777" w:rsidR="005007AA" w:rsidRPr="002F73F3" w:rsidRDefault="005007AA" w:rsidP="003927B5"/>
    <w:p w14:paraId="27D671DE" w14:textId="250882D5" w:rsidR="002E0E6B" w:rsidRDefault="002E0E6B" w:rsidP="00155C53">
      <w:pPr>
        <w:pStyle w:val="Heading2"/>
        <w:numPr>
          <w:ilvl w:val="0"/>
          <w:numId w:val="8"/>
        </w:numPr>
      </w:pPr>
      <w:bookmarkStart w:id="29" w:name="_Toc508877634"/>
      <w:r>
        <w:t>Public solutions</w:t>
      </w:r>
      <w:bookmarkEnd w:id="29"/>
    </w:p>
    <w:p w14:paraId="190BCC5C" w14:textId="326B4960" w:rsidR="00130D4F" w:rsidRDefault="006968D7" w:rsidP="002E0E6B">
      <w:r>
        <w:lastRenderedPageBreak/>
        <w:t>Historically, courts took a dim view of modifications.  They applied the pre-existing duty rule, which stated that doing what a party had already promised to do is insufficient consideration for a new promise.</w:t>
      </w:r>
      <w:r>
        <w:rPr>
          <w:rStyle w:val="FootnoteReference"/>
        </w:rPr>
        <w:footnoteReference w:id="54"/>
      </w:r>
      <w:r>
        <w:t xml:space="preserve">  </w:t>
      </w:r>
      <w:r w:rsidR="004931AF">
        <w:t xml:space="preserve">This is </w:t>
      </w:r>
      <w:r w:rsidR="00B22E09">
        <w:t>formally</w:t>
      </w:r>
      <w:r w:rsidR="004931AF">
        <w:t xml:space="preserve"> the rule that the Ninth Circuit applied </w:t>
      </w:r>
      <w:r w:rsidR="00B22E09">
        <w:t xml:space="preserve">to invalidate the modification </w:t>
      </w:r>
      <w:r w:rsidR="004931AF">
        <w:t xml:space="preserve">in </w:t>
      </w:r>
      <w:r w:rsidR="004931AF" w:rsidRPr="004931AF">
        <w:rPr>
          <w:i/>
        </w:rPr>
        <w:t>Alaska Packer’s Association</w:t>
      </w:r>
      <w:r w:rsidR="004931AF">
        <w:rPr>
          <w:i/>
        </w:rPr>
        <w:t xml:space="preserve"> v. D</w:t>
      </w:r>
      <w:r w:rsidR="00950A42">
        <w:rPr>
          <w:i/>
        </w:rPr>
        <w:t>o</w:t>
      </w:r>
      <w:r w:rsidR="004931AF">
        <w:rPr>
          <w:i/>
        </w:rPr>
        <w:t>m</w:t>
      </w:r>
      <w:r w:rsidR="00950A42">
        <w:rPr>
          <w:i/>
        </w:rPr>
        <w:t>e</w:t>
      </w:r>
      <w:r w:rsidR="004931AF">
        <w:rPr>
          <w:i/>
        </w:rPr>
        <w:t>nico</w:t>
      </w:r>
      <w:r w:rsidR="00FC540C">
        <w:t>,</w:t>
      </w:r>
      <w:r w:rsidR="00950A42">
        <w:rPr>
          <w:rStyle w:val="FootnoteReference"/>
        </w:rPr>
        <w:footnoteReference w:id="55"/>
      </w:r>
      <w:r w:rsidR="00FC540C">
        <w:t xml:space="preserve"> though as we’ll see it has </w:t>
      </w:r>
      <w:r w:rsidR="00950A42">
        <w:t xml:space="preserve">nonetheless </w:t>
      </w:r>
      <w:r w:rsidR="00FC540C">
        <w:t>come to be interpreted as standing for a different rule</w:t>
      </w:r>
      <w:r w:rsidR="004931AF">
        <w:t>.</w:t>
      </w:r>
      <w:r w:rsidR="00950A42">
        <w:rPr>
          <w:rStyle w:val="FootnoteReference"/>
        </w:rPr>
        <w:footnoteReference w:id="56"/>
      </w:r>
      <w:r>
        <w:t xml:space="preserve">  </w:t>
      </w:r>
    </w:p>
    <w:p w14:paraId="528FF793" w14:textId="1686A345" w:rsidR="002E0E6B" w:rsidRDefault="004931AF" w:rsidP="002E0E6B">
      <w:r>
        <w:t xml:space="preserve">The problem with </w:t>
      </w:r>
      <w:r w:rsidR="00FC540C">
        <w:t xml:space="preserve">the pre-existing duty </w:t>
      </w:r>
      <w:r>
        <w:t xml:space="preserve">rule is that it made it difficult to implement contract modifications were </w:t>
      </w:r>
      <w:r w:rsidR="00161B10">
        <w:t>efficient responses to changed circumstances.</w:t>
      </w:r>
      <w:r w:rsidR="00FC540C">
        <w:rPr>
          <w:rStyle w:val="FootnoteReference"/>
        </w:rPr>
        <w:footnoteReference w:id="57"/>
      </w:r>
      <w:r w:rsidR="00161B10">
        <w:t xml:space="preserve">  </w:t>
      </w:r>
      <w:r w:rsidR="00FC540C">
        <w:t>It was also easily gamed with small amounts of consideration that largely preserved the rents earned by exploitative contracting parties.</w:t>
      </w:r>
      <w:r w:rsidR="00FC540C">
        <w:rPr>
          <w:rStyle w:val="FootnoteReference"/>
        </w:rPr>
        <w:footnoteReference w:id="58"/>
      </w:r>
      <w:r w:rsidR="00FC540C">
        <w:t xml:space="preserve"> </w:t>
      </w:r>
      <w:r w:rsidR="00130D4F">
        <w:t xml:space="preserve">As a result the rule has </w:t>
      </w:r>
      <w:r w:rsidR="00950A42">
        <w:t>l</w:t>
      </w:r>
      <w:r w:rsidR="00130D4F">
        <w:t>argely been abandoned.</w:t>
      </w:r>
      <w:r w:rsidR="00130D4F">
        <w:rPr>
          <w:rStyle w:val="FootnoteReference"/>
        </w:rPr>
        <w:footnoteReference w:id="59"/>
      </w:r>
    </w:p>
    <w:p w14:paraId="6773A014" w14:textId="13E8893C" w:rsidR="00130D4F" w:rsidRDefault="00130D4F" w:rsidP="002E0E6B">
      <w:r>
        <w:t>In its stead, c</w:t>
      </w:r>
      <w:r w:rsidR="006A73D8">
        <w:t xml:space="preserve">ourts have largely followed three different rules.  The first and most widespread in </w:t>
      </w:r>
      <w:r>
        <w:t xml:space="preserve">in </w:t>
      </w:r>
      <w:r w:rsidR="006A73D8">
        <w:t>common law is the duress doctrine, under which courts may rule a modification unenforceable if they determine it was secured under duress.  Duress is typically defined as induced by an “improper threat,” including a threat of breach,</w:t>
      </w:r>
      <w:bookmarkStart w:id="30" w:name="_Ref508874591"/>
      <w:r w:rsidR="006A73D8">
        <w:rPr>
          <w:rStyle w:val="FootnoteReference"/>
        </w:rPr>
        <w:footnoteReference w:id="60"/>
      </w:r>
      <w:bookmarkEnd w:id="30"/>
      <w:r w:rsidR="006A73D8">
        <w:t xml:space="preserve"> especially if the threat leaves the victim with “no reasonable alternatives.”</w:t>
      </w:r>
      <w:r w:rsidR="006A73D8">
        <w:rPr>
          <w:rStyle w:val="FootnoteReference"/>
        </w:rPr>
        <w:footnoteReference w:id="61"/>
      </w:r>
      <w:r w:rsidR="006A73D8">
        <w:t xml:space="preserve">  The definition of duress </w:t>
      </w:r>
      <w:r>
        <w:t>has expanded over time and has been criticized for being ambiguous.</w:t>
      </w:r>
      <w:r>
        <w:rPr>
          <w:rStyle w:val="FootnoteReference"/>
        </w:rPr>
        <w:footnoteReference w:id="62"/>
      </w:r>
    </w:p>
    <w:p w14:paraId="3C1A7F32" w14:textId="72701B4E" w:rsidR="00161B10" w:rsidRDefault="00130D4F" w:rsidP="002E0E6B">
      <w:r>
        <w:t xml:space="preserve">The second rule is good faith.  The comment to Uniform Commercial Code </w:t>
      </w:r>
      <w:r w:rsidRPr="006A73D8">
        <w:t>§</w:t>
      </w:r>
      <w:r>
        <w:t xml:space="preserve"> 2-209, which governs modification to contracts for the sale of goods only, explains that </w:t>
      </w:r>
      <w:r w:rsidRPr="00FC09B3">
        <w:rPr>
          <w:rFonts w:cstheme="minorHAnsi"/>
        </w:rPr>
        <w:t xml:space="preserve">"modifications </w:t>
      </w:r>
      <w:r>
        <w:rPr>
          <w:rFonts w:cstheme="minorHAnsi"/>
        </w:rPr>
        <w:t>…</w:t>
      </w:r>
      <w:r w:rsidRPr="00FC09B3">
        <w:rPr>
          <w:rFonts w:cstheme="minorHAnsi"/>
        </w:rPr>
        <w:t xml:space="preserve"> must meet the test of good faith</w:t>
      </w:r>
      <w:r>
        <w:rPr>
          <w:rFonts w:cstheme="minorHAnsi"/>
        </w:rPr>
        <w:t>.”  However, this requirement largely overlaps with the duress test, the comment explains that “</w:t>
      </w:r>
      <w:r w:rsidRPr="00FC09B3">
        <w:rPr>
          <w:rFonts w:cstheme="minorHAnsi"/>
        </w:rPr>
        <w:t xml:space="preserve">the extortion of a </w:t>
      </w:r>
      <w:r>
        <w:rPr>
          <w:rFonts w:cstheme="minorHAnsi"/>
        </w:rPr>
        <w:t>‘</w:t>
      </w:r>
      <w:r w:rsidRPr="00FC09B3">
        <w:rPr>
          <w:rFonts w:cstheme="minorHAnsi"/>
        </w:rPr>
        <w:t>modification</w:t>
      </w:r>
      <w:r>
        <w:rPr>
          <w:rFonts w:cstheme="minorHAnsi"/>
        </w:rPr>
        <w:t>’</w:t>
      </w:r>
      <w:r w:rsidRPr="00FC09B3">
        <w:rPr>
          <w:rFonts w:cstheme="minorHAnsi"/>
        </w:rPr>
        <w:t xml:space="preserve"> without legitimate commercial reason is ineffective as a violation of the duty of good faith.</w:t>
      </w:r>
      <w:r>
        <w:rPr>
          <w:rFonts w:cstheme="minorHAnsi"/>
        </w:rPr>
        <w:t>”</w:t>
      </w:r>
      <w:r>
        <w:t xml:space="preserve">  </w:t>
      </w:r>
    </w:p>
    <w:p w14:paraId="51D46D8E" w14:textId="7C5BA5EC" w:rsidR="00130D4F" w:rsidRDefault="00130D4F" w:rsidP="002E0E6B">
      <w:r>
        <w:t xml:space="preserve">The third rule is </w:t>
      </w:r>
      <w:r w:rsidR="007C4513">
        <w:t xml:space="preserve">the “changed circumstances” rule.  </w:t>
      </w:r>
      <w:r w:rsidR="00C739E6">
        <w:t>Under this rule, courts look for unanticipated changes in commercial conditions that would make the original contract unappealing for the parties.</w:t>
      </w:r>
      <w:r w:rsidR="00661859">
        <w:rPr>
          <w:rStyle w:val="FootnoteReference"/>
        </w:rPr>
        <w:footnoteReference w:id="63"/>
      </w:r>
      <w:r w:rsidR="00C739E6">
        <w:t xml:space="preserve">  If found, the court would enforce a modification.  In contrast with the </w:t>
      </w:r>
      <w:r w:rsidR="007C4513">
        <w:t>duress doctrine</w:t>
      </w:r>
      <w:r w:rsidR="00C739E6">
        <w:t xml:space="preserve">, in which courts </w:t>
      </w:r>
      <w:r w:rsidR="00C739E6">
        <w:lastRenderedPageBreak/>
        <w:t xml:space="preserve">look for evidence (duress) that a modification is bad, with the changed circumstances rule, courts look for evidence that a modification is good.  </w:t>
      </w:r>
      <w:r w:rsidR="007C4513">
        <w:t xml:space="preserve">   </w:t>
      </w:r>
    </w:p>
    <w:p w14:paraId="5CEA9CDF" w14:textId="3DABF60D" w:rsidR="00C739E6" w:rsidRDefault="00C739E6" w:rsidP="002E0E6B">
      <w:r>
        <w:t>The Restatement (Second) of Contracts effectively endorses all three rules at once.  While the background rule is that contracts (or contract modifications) lacking consideration are unenforceable,</w:t>
      </w:r>
      <w:r>
        <w:rPr>
          <w:rStyle w:val="FootnoteReference"/>
        </w:rPr>
        <w:footnoteReference w:id="64"/>
      </w:r>
      <w:r>
        <w:t xml:space="preserve"> the Restatement carves an exception: modifications unsupported by consideration are still enforceable if they are “fair and equitable in view of </w:t>
      </w:r>
      <w:r w:rsidR="00661859">
        <w:t>circumstances not anticipated by the parties when the contract was made.”</w:t>
      </w:r>
      <w:r w:rsidR="00661859">
        <w:rPr>
          <w:rStyle w:val="FootnoteReference"/>
        </w:rPr>
        <w:footnoteReference w:id="65"/>
      </w:r>
      <w:r w:rsidR="00661859">
        <w:t xml:space="preserve">  However, a modification is not enforceable if it is induced by an “improper threat”, which includes a threat to breach in violation of the duty of good faith.</w:t>
      </w:r>
      <w:r w:rsidR="00661859">
        <w:rPr>
          <w:rStyle w:val="FootnoteReference"/>
        </w:rPr>
        <w:footnoteReference w:id="66"/>
      </w:r>
      <w:r w:rsidR="00661859">
        <w:t xml:space="preserve">  </w:t>
      </w:r>
    </w:p>
    <w:p w14:paraId="090B35BB" w14:textId="033892F3" w:rsidR="00661859" w:rsidRDefault="00661859" w:rsidP="002E0E6B">
      <w:r>
        <w:t xml:space="preserve">Scholars have proposed alternative rules, though these have not gained traction in case law.  </w:t>
      </w:r>
      <w:r w:rsidR="00D92F74">
        <w:t xml:space="preserve">For example, </w:t>
      </w:r>
      <w:r>
        <w:t xml:space="preserve">Professor </w:t>
      </w:r>
      <w:proofErr w:type="spellStart"/>
      <w:r>
        <w:t>Shavell</w:t>
      </w:r>
      <w:proofErr w:type="spellEnd"/>
      <w:r>
        <w:t xml:space="preserve"> has advocated a rule that allows modifications, so long as the change in price is reasonable.</w:t>
      </w:r>
      <w:r w:rsidR="00AB3FE1">
        <w:rPr>
          <w:rStyle w:val="FootnoteReference"/>
        </w:rPr>
        <w:footnoteReference w:id="67"/>
      </w:r>
      <w:r>
        <w:t xml:space="preserve">  Professors Bar Gill and Ben </w:t>
      </w:r>
      <w:proofErr w:type="spellStart"/>
      <w:r>
        <w:t>Shahar</w:t>
      </w:r>
      <w:proofErr w:type="spellEnd"/>
      <w:r>
        <w:t xml:space="preserve"> have proposed a rule that would allow modifications even if induced by threats so long as those threats are credible.</w:t>
      </w:r>
      <w:r w:rsidR="00AB3FE1">
        <w:rPr>
          <w:rStyle w:val="FootnoteReference"/>
        </w:rPr>
        <w:footnoteReference w:id="68"/>
      </w:r>
      <w:r>
        <w:t xml:space="preserve">  </w:t>
      </w:r>
      <w:r w:rsidR="004D7125">
        <w:t xml:space="preserve">Professor </w:t>
      </w:r>
      <w:proofErr w:type="spellStart"/>
      <w:r w:rsidR="004D7125">
        <w:t>Jolls</w:t>
      </w:r>
      <w:proofErr w:type="spellEnd"/>
      <w:r w:rsidR="004D7125">
        <w:t xml:space="preserve"> has gone so far as to suggest that courts allow the parties to contract to disallow any future modifications to a contract.</w:t>
      </w:r>
      <w:r w:rsidR="004D7125">
        <w:rPr>
          <w:rStyle w:val="FootnoteReference"/>
        </w:rPr>
        <w:footnoteReference w:id="69"/>
      </w:r>
      <w:r w:rsidR="004D7125">
        <w:t xml:space="preserve">   </w:t>
      </w:r>
    </w:p>
    <w:p w14:paraId="3FE382C9" w14:textId="1E8767E7" w:rsidR="004D7125" w:rsidRDefault="00D92F74" w:rsidP="002E0E6B">
      <w:r>
        <w:t xml:space="preserve">The different rules enforced by courts, as well as alternative rules proposed by scholars, all suffer from a basic problem: non-verifiability.  For example, the duress doctrine depends on demonstrating improper threat and the lack of alternatives.  </w:t>
      </w:r>
      <w:r w:rsidR="004D7125">
        <w:t xml:space="preserve">Likewise, Professors Bar Gill and Ben </w:t>
      </w:r>
      <w:proofErr w:type="spellStart"/>
      <w:r w:rsidR="004D7125">
        <w:t>Shahar’s</w:t>
      </w:r>
      <w:proofErr w:type="spellEnd"/>
      <w:r w:rsidR="004D7125">
        <w:t xml:space="preserve"> proposal requires distinguishing between credible and non-credible threats.  </w:t>
      </w:r>
      <w:r>
        <w:t xml:space="preserve">The changed circumstances rule requires proof of unanticipated alteration in economic conditions surrounding the contract.  There may be disagreements about whether there was an improper </w:t>
      </w:r>
      <w:r w:rsidR="004D7125">
        <w:t xml:space="preserve">or credible </w:t>
      </w:r>
      <w:r>
        <w:t xml:space="preserve">threat or an increase in costs, as exemplified by Professor </w:t>
      </w:r>
      <w:proofErr w:type="spellStart"/>
      <w:r>
        <w:t>Threedy’s</w:t>
      </w:r>
      <w:proofErr w:type="spellEnd"/>
      <w:r>
        <w:t xml:space="preserve"> </w:t>
      </w:r>
      <w:proofErr w:type="spellStart"/>
      <w:r>
        <w:t>exegsis</w:t>
      </w:r>
      <w:proofErr w:type="spellEnd"/>
      <w:r>
        <w:t xml:space="preserve"> of the facts behind </w:t>
      </w:r>
      <w:r w:rsidRPr="00B50597">
        <w:rPr>
          <w:i/>
        </w:rPr>
        <w:t xml:space="preserve">Alaska Packers </w:t>
      </w:r>
      <w:proofErr w:type="spellStart"/>
      <w:r w:rsidRPr="00B50597">
        <w:rPr>
          <w:i/>
        </w:rPr>
        <w:t>Ass’n</w:t>
      </w:r>
      <w:proofErr w:type="spellEnd"/>
      <w:r w:rsidRPr="00B50597">
        <w:rPr>
          <w:i/>
        </w:rPr>
        <w:t xml:space="preserve"> v. Domenico</w:t>
      </w:r>
      <w:r>
        <w:t>.</w:t>
      </w:r>
      <w:r>
        <w:rPr>
          <w:rStyle w:val="FootnoteReference"/>
        </w:rPr>
        <w:footnoteReference w:id="70"/>
      </w:r>
      <w:r>
        <w:t xml:space="preserve">  </w:t>
      </w:r>
    </w:p>
    <w:p w14:paraId="7319C08D" w14:textId="30FEF400" w:rsidR="00B50597" w:rsidRDefault="00B50597" w:rsidP="002E0E6B">
      <w:r>
        <w:t xml:space="preserve">What makes matters more complicated is that the existence of, say, changed circumstances, is not sufficient evidence that a modification should be enforced, from an economic perspective.  What the court should do, as Professor </w:t>
      </w:r>
      <w:proofErr w:type="spellStart"/>
      <w:r>
        <w:t>Shavell</w:t>
      </w:r>
      <w:proofErr w:type="spellEnd"/>
      <w:r>
        <w:t xml:space="preserve"> explains, is compare the increase in costs due to changed circumstances with the increase in price.  If the increase in price is greater than the increase in costs, then there may be hold-up even in the presence of changed circumstances.  Yet, these careful economic calculations are not the comparative advantage of courts.</w:t>
      </w:r>
      <w:r>
        <w:rPr>
          <w:rStyle w:val="FootnoteReference"/>
        </w:rPr>
        <w:footnoteReference w:id="71"/>
      </w:r>
      <w:r>
        <w:t xml:space="preserve"> </w:t>
      </w:r>
    </w:p>
    <w:p w14:paraId="0B18C651" w14:textId="687C9432" w:rsidR="00B50597" w:rsidRDefault="00D92F74" w:rsidP="002E0E6B">
      <w:r>
        <w:lastRenderedPageBreak/>
        <w:t>Even if ex post courts can overcome the</w:t>
      </w:r>
      <w:r w:rsidR="00B50597">
        <w:t>se</w:t>
      </w:r>
      <w:r>
        <w:t xml:space="preserve"> disagreements </w:t>
      </w:r>
      <w:r w:rsidR="00B50597">
        <w:t xml:space="preserve">about facts </w:t>
      </w:r>
      <w:r>
        <w:t>and reach a decision, ex ante there will be uncertainty amongst the parties about what rule the courts will apply or what fact</w:t>
      </w:r>
      <w:r w:rsidR="00B50597">
        <w:t>s</w:t>
      </w:r>
      <w:r>
        <w:t xml:space="preserve"> the court will find.  This uncertainty </w:t>
      </w:r>
      <w:r w:rsidR="00B50597">
        <w:t xml:space="preserve">implies that </w:t>
      </w:r>
      <w:r>
        <w:t>a positive probability that remedies will be inadequate.</w:t>
      </w:r>
      <w:r>
        <w:rPr>
          <w:rStyle w:val="FootnoteReference"/>
        </w:rPr>
        <w:footnoteReference w:id="72"/>
      </w:r>
      <w:r>
        <w:t xml:space="preserve">  </w:t>
      </w:r>
      <w:r w:rsidR="00B50597">
        <w:t xml:space="preserve">That in turn creates opportunities for </w:t>
      </w:r>
      <w:r w:rsidR="00485CB8">
        <w:t>hold-up</w:t>
      </w:r>
      <w:r w:rsidR="00B50597">
        <w:t xml:space="preserve">.  </w:t>
      </w:r>
    </w:p>
    <w:p w14:paraId="4182B10B" w14:textId="06878ECA" w:rsidR="00D92F74" w:rsidRDefault="004D7125" w:rsidP="002E0E6B">
      <w:r>
        <w:t xml:space="preserve">Some rules, such as the pre-existing duty rule and Professor </w:t>
      </w:r>
      <w:proofErr w:type="spellStart"/>
      <w:r>
        <w:t>Joll’s</w:t>
      </w:r>
      <w:proofErr w:type="spellEnd"/>
      <w:r>
        <w:t xml:space="preserve"> rule to enforce no-modifications clauses, are easy for courts to enforce and entail little uncertainty.  Yet these are also extreme solutions.  Each rules out any efficient modifications in response to changed circumstances.  </w:t>
      </w:r>
    </w:p>
    <w:p w14:paraId="4D876C7A" w14:textId="77777777" w:rsidR="004D7125" w:rsidRDefault="004D7125" w:rsidP="002E0E6B"/>
    <w:p w14:paraId="1D5A2D33" w14:textId="0DEF13C7" w:rsidR="00CA2C5A" w:rsidRDefault="00CA2C5A" w:rsidP="00155C53">
      <w:pPr>
        <w:pStyle w:val="Heading2"/>
        <w:numPr>
          <w:ilvl w:val="0"/>
          <w:numId w:val="8"/>
        </w:numPr>
      </w:pPr>
      <w:bookmarkStart w:id="31" w:name="_Toc508877635"/>
      <w:r>
        <w:t>Private solutions</w:t>
      </w:r>
      <w:bookmarkEnd w:id="31"/>
    </w:p>
    <w:p w14:paraId="08E75614" w14:textId="528A3984" w:rsidR="00B50597" w:rsidRDefault="00B50597" w:rsidP="003927B5">
      <w:r>
        <w:t>Given the inherently limited ability of courts to tackle the problem of hold-up</w:t>
      </w:r>
      <w:r w:rsidR="004D7125">
        <w:t>, at least without going overboard and stopping even efficient modifications</w:t>
      </w:r>
      <w:r>
        <w:t xml:space="preserve">, we turn to private, contractual solutions that parties may pursue </w:t>
      </w:r>
      <w:r w:rsidR="004D7125">
        <w:t xml:space="preserve">– with less reliance on nuanced judgment by courts – </w:t>
      </w:r>
      <w:r>
        <w:t xml:space="preserve">to address the risk or consequences of hold-up.  </w:t>
      </w:r>
    </w:p>
    <w:p w14:paraId="2784C10A" w14:textId="6B1B6468" w:rsidR="00CA2C5A" w:rsidRDefault="00E71735" w:rsidP="003927B5">
      <w:r w:rsidRPr="007803C6">
        <w:t>Ideally, the parties would write a contract that precisely specified what investments each party would make in each state of the world and at what price and quantity they would trade given the result of those investments</w:t>
      </w:r>
      <w:r w:rsidRPr="002F73F3">
        <w:t>.</w:t>
      </w:r>
      <w:r>
        <w:t xml:space="preserve">  Economists call this a complete state-contingent contract that specifies the parties’ payoffs in all states of the world.  In this context, courts would have no reason to allow renegotiation -- correctly or mistakenly – because the original contract would account for all possible changed circumstances.  </w:t>
      </w:r>
      <w:r w:rsidR="00217BE6">
        <w:t>That</w:t>
      </w:r>
      <w:r w:rsidR="002F73F3">
        <w:t>,</w:t>
      </w:r>
      <w:r w:rsidR="00217BE6">
        <w:t xml:space="preserve"> in turn</w:t>
      </w:r>
      <w:r w:rsidR="002F73F3">
        <w:t>,</w:t>
      </w:r>
      <w:r w:rsidR="00217BE6">
        <w:t xml:space="preserve"> would deter </w:t>
      </w:r>
      <w:r w:rsidR="00485CB8">
        <w:t>hold-up</w:t>
      </w:r>
      <w:r w:rsidR="00217BE6">
        <w:t>.</w:t>
      </w:r>
    </w:p>
    <w:p w14:paraId="2AEE695C" w14:textId="77777777" w:rsidR="00E71735" w:rsidRDefault="00877CB6" w:rsidP="003927B5">
      <w:r w:rsidRPr="007803C6">
        <w:t>Yet such contracts are nearly impossible to write.  P</w:t>
      </w:r>
      <w:r w:rsidR="00E71735" w:rsidRPr="007803C6">
        <w:t>arties may not know all possible states or it may not be cost</w:t>
      </w:r>
      <w:r w:rsidR="002F73F3" w:rsidRPr="007803C6">
        <w:t xml:space="preserve"> </w:t>
      </w:r>
      <w:r w:rsidR="00E71735" w:rsidRPr="007803C6">
        <w:t>effective to specify them all ex ante</w:t>
      </w:r>
      <w:r w:rsidR="00E71735" w:rsidRPr="00D77316">
        <w:t>.</w:t>
      </w:r>
      <w:r w:rsidR="00E71735">
        <w:t xml:space="preserve">  </w:t>
      </w:r>
      <w:r>
        <w:t xml:space="preserve">Moreover, </w:t>
      </w:r>
      <w:r w:rsidR="00E71735">
        <w:t xml:space="preserve">courts </w:t>
      </w:r>
      <w:r>
        <w:t xml:space="preserve">often </w:t>
      </w:r>
      <w:r w:rsidR="00E71735">
        <w:t xml:space="preserve">cannot verify what state the parties are in and </w:t>
      </w:r>
      <w:r w:rsidR="00E67FF2">
        <w:t xml:space="preserve">thus </w:t>
      </w:r>
      <w:r w:rsidR="00E71735">
        <w:t>enforce the appropriate contractual provision.</w:t>
      </w:r>
      <w:r w:rsidR="009F6DD0">
        <w:rPr>
          <w:rStyle w:val="FootnoteReference"/>
        </w:rPr>
        <w:footnoteReference w:id="73"/>
      </w:r>
      <w:r w:rsidR="00E71735">
        <w:t xml:space="preserve">  </w:t>
      </w:r>
      <w:r w:rsidR="00E67FF2">
        <w:t xml:space="preserve">Indeed, </w:t>
      </w:r>
      <w:r>
        <w:t xml:space="preserve">this is </w:t>
      </w:r>
      <w:r w:rsidR="00745700">
        <w:t>the reason that</w:t>
      </w:r>
      <w:r>
        <w:t xml:space="preserve"> the </w:t>
      </w:r>
      <w:r w:rsidR="00E67FF2">
        <w:t xml:space="preserve">starting assumption of the </w:t>
      </w:r>
      <w:r>
        <w:t xml:space="preserve">economic literature on the </w:t>
      </w:r>
      <w:r w:rsidR="00E67FF2">
        <w:t>hold-up problem is that parties cannot and do not write</w:t>
      </w:r>
      <w:r w:rsidR="00D77316">
        <w:t>,</w:t>
      </w:r>
      <w:r w:rsidR="00E67FF2">
        <w:t xml:space="preserve"> or courts cannot enforce</w:t>
      </w:r>
      <w:r w:rsidR="00D77316">
        <w:t>,</w:t>
      </w:r>
      <w:r w:rsidR="00E67FF2">
        <w:t xml:space="preserve"> complete contracts.</w:t>
      </w:r>
      <w:r w:rsidR="009F6DD0">
        <w:rPr>
          <w:rStyle w:val="FootnoteReference"/>
        </w:rPr>
        <w:footnoteReference w:id="74"/>
      </w:r>
      <w:r w:rsidR="00E67FF2">
        <w:t xml:space="preserve">  </w:t>
      </w:r>
    </w:p>
    <w:p w14:paraId="174CC844" w14:textId="1B11B375" w:rsidR="00E71735" w:rsidRDefault="00877CB6" w:rsidP="00217BE6">
      <w:r w:rsidRPr="00745700">
        <w:t xml:space="preserve">One </w:t>
      </w:r>
      <w:r w:rsidR="00E67FF2" w:rsidRPr="00745700">
        <w:t xml:space="preserve">alternative solution is </w:t>
      </w:r>
      <w:r w:rsidR="00217BE6" w:rsidRPr="00745700">
        <w:t>for the two contract</w:t>
      </w:r>
      <w:r w:rsidR="00D77316" w:rsidRPr="00745700">
        <w:t>ing</w:t>
      </w:r>
      <w:r w:rsidR="00217BE6" w:rsidRPr="00745700">
        <w:t xml:space="preserve"> parties to merge and conduct the transaction internally within </w:t>
      </w:r>
      <w:r w:rsidR="00745700">
        <w:t>a single</w:t>
      </w:r>
      <w:r w:rsidR="00217BE6" w:rsidRPr="00745700">
        <w:t xml:space="preserve"> firm</w:t>
      </w:r>
      <w:r w:rsidR="00217BE6" w:rsidRPr="00D77316">
        <w:t>.</w:t>
      </w:r>
      <w:r w:rsidR="00217BE6">
        <w:t xml:space="preserve">  This option is </w:t>
      </w:r>
      <w:r w:rsidR="00745700">
        <w:t xml:space="preserve">why </w:t>
      </w:r>
      <w:r w:rsidR="00A43E01">
        <w:t xml:space="preserve">Professor </w:t>
      </w:r>
      <w:proofErr w:type="spellStart"/>
      <w:r w:rsidR="00A43E01">
        <w:t>Coase</w:t>
      </w:r>
      <w:proofErr w:type="spellEnd"/>
      <w:r w:rsidR="00A43E01">
        <w:t xml:space="preserve"> and later Professor Hart predicted</w:t>
      </w:r>
      <w:r w:rsidR="00217BE6">
        <w:t xml:space="preserve"> that</w:t>
      </w:r>
      <w:r w:rsidR="00A43E01">
        <w:t xml:space="preserve"> </w:t>
      </w:r>
      <w:r w:rsidR="00485CB8">
        <w:t>hold-up</w:t>
      </w:r>
      <w:r w:rsidR="00E71735">
        <w:t xml:space="preserve"> could </w:t>
      </w:r>
      <w:r w:rsidR="00D77316">
        <w:t xml:space="preserve">provide </w:t>
      </w:r>
      <w:r w:rsidR="00E71735">
        <w:t>incent</w:t>
      </w:r>
      <w:r w:rsidR="00D77316">
        <w:t>ives for</w:t>
      </w:r>
      <w:r w:rsidR="00E71735">
        <w:t xml:space="preserve"> </w:t>
      </w:r>
      <w:r w:rsidR="00A43E01">
        <w:t xml:space="preserve">the parties to move their transaction from the </w:t>
      </w:r>
      <w:r w:rsidR="00E71735">
        <w:t>market</w:t>
      </w:r>
      <w:r w:rsidR="00D77316">
        <w:t>, mediated by</w:t>
      </w:r>
      <w:r w:rsidR="00E71735">
        <w:t xml:space="preserve"> </w:t>
      </w:r>
      <w:r w:rsidR="00A43E01">
        <w:t xml:space="preserve">contract </w:t>
      </w:r>
      <w:r w:rsidR="00E71735">
        <w:t>between firms</w:t>
      </w:r>
      <w:r w:rsidR="00D77316">
        <w:t>,</w:t>
      </w:r>
      <w:r w:rsidR="00E71735">
        <w:t xml:space="preserve"> </w:t>
      </w:r>
      <w:r w:rsidR="00A43E01">
        <w:t xml:space="preserve">to </w:t>
      </w:r>
      <w:r w:rsidR="00D77316">
        <w:t>organizing the transaction</w:t>
      </w:r>
      <w:r w:rsidR="00217BE6">
        <w:t xml:space="preserve"> </w:t>
      </w:r>
      <w:r w:rsidR="00A43E01">
        <w:t>within a single</w:t>
      </w:r>
      <w:r w:rsidR="00D77316">
        <w:t>, integrated</w:t>
      </w:r>
      <w:r w:rsidR="00A43E01">
        <w:t xml:space="preserve"> firm.  </w:t>
      </w:r>
    </w:p>
    <w:p w14:paraId="77AB8402" w14:textId="54B99DCA" w:rsidR="00217BE6" w:rsidRDefault="00A43E01" w:rsidP="003927B5">
      <w:r>
        <w:t xml:space="preserve">While Apple and Corning </w:t>
      </w:r>
      <w:r w:rsidR="00D77316">
        <w:t>integrating</w:t>
      </w:r>
      <w:r w:rsidR="002C3EDC">
        <w:rPr>
          <w:rStyle w:val="FootnoteReference"/>
        </w:rPr>
        <w:footnoteReference w:id="75"/>
      </w:r>
      <w:r w:rsidR="00D77316">
        <w:t xml:space="preserve"> </w:t>
      </w:r>
      <w:r>
        <w:t xml:space="preserve">would address the glass plate supply problem, both parties also deal with other suppliers and purchasers.  Corning cannot both </w:t>
      </w:r>
      <w:r w:rsidR="00D77316">
        <w:t xml:space="preserve">integrate </w:t>
      </w:r>
      <w:r>
        <w:t xml:space="preserve">with Apple and with, say, </w:t>
      </w:r>
      <w:r>
        <w:lastRenderedPageBreak/>
        <w:t xml:space="preserve">Motorola, another smartphone OEM.  </w:t>
      </w:r>
      <w:r w:rsidR="00E71735">
        <w:t xml:space="preserve">As a result, </w:t>
      </w:r>
      <w:r w:rsidR="00D77316">
        <w:t xml:space="preserve">integrating </w:t>
      </w:r>
      <w:r w:rsidR="00E71735">
        <w:t xml:space="preserve">with Apple </w:t>
      </w:r>
      <w:r w:rsidR="00D77316">
        <w:t>would mean having a less efficient relationship with</w:t>
      </w:r>
      <w:r w:rsidR="00E71735">
        <w:t xml:space="preserve"> Motorola</w:t>
      </w:r>
      <w:r w:rsidR="00D77316">
        <w:t xml:space="preserve">, due to </w:t>
      </w:r>
      <w:r w:rsidR="00485CB8">
        <w:t>hold-up</w:t>
      </w:r>
      <w:r>
        <w:t xml:space="preserve">.  Nor would Apple want to </w:t>
      </w:r>
      <w:r w:rsidR="00D77316">
        <w:t>own</w:t>
      </w:r>
      <w:r>
        <w:t xml:space="preserve"> every single one of its thousands of suppliers, even though their deals may also entail hold-up risks.  Managing all those </w:t>
      </w:r>
      <w:r w:rsidR="00D77316">
        <w:t xml:space="preserve">relationships </w:t>
      </w:r>
      <w:r>
        <w:t xml:space="preserve">internally within a firm simply </w:t>
      </w:r>
      <w:r w:rsidR="00E71735">
        <w:t xml:space="preserve">replaces </w:t>
      </w:r>
      <w:r>
        <w:t>hold-up problem</w:t>
      </w:r>
      <w:r w:rsidR="00E71735">
        <w:t>s</w:t>
      </w:r>
      <w:r>
        <w:t xml:space="preserve"> with internal agency problems.  </w:t>
      </w:r>
    </w:p>
    <w:p w14:paraId="09F4407C" w14:textId="133DF607" w:rsidR="00217BE6" w:rsidRDefault="00877CB6" w:rsidP="003927B5">
      <w:r w:rsidRPr="007803C6">
        <w:t>A second</w:t>
      </w:r>
      <w:r w:rsidR="00217BE6" w:rsidRPr="007803C6">
        <w:t xml:space="preserve"> alternative for the parties is to rely on repeat play and reputation</w:t>
      </w:r>
      <w:r w:rsidR="00217BE6" w:rsidRPr="00D77316">
        <w:t>.</w:t>
      </w:r>
      <w:r w:rsidR="00217BE6">
        <w:t xml:space="preserve">  If Apple and Corning transact each year for each new iteration of Apple’s smartphone, they each have a strong incentive not to hold the other up, lest they jeopardize future deals between them.</w:t>
      </w:r>
      <w:r w:rsidR="00AF3C6E">
        <w:rPr>
          <w:rStyle w:val="FootnoteReference"/>
        </w:rPr>
        <w:footnoteReference w:id="76"/>
      </w:r>
      <w:r w:rsidR="00217BE6">
        <w:t xml:space="preserve">  That said, if the power to hold</w:t>
      </w:r>
      <w:r w:rsidR="00D77316">
        <w:t xml:space="preserve"> </w:t>
      </w:r>
      <w:r w:rsidR="00217BE6">
        <w:t>up is asymmetric, it would affect the aggregate division of gains from trade across all the parties</w:t>
      </w:r>
      <w:r w:rsidR="00D77316">
        <w:t>’</w:t>
      </w:r>
      <w:r w:rsidR="00217BE6">
        <w:t xml:space="preserve"> contracts in favor of the party with more hold-up power.  This in turn could reduce the incentive of the weaker party to participate even in repeat play transactions.  More importantly, many parties do not transact repeatedly – or expect that their repeated transactions will one day end.</w:t>
      </w:r>
      <w:r w:rsidR="009F6DD0">
        <w:rPr>
          <w:rStyle w:val="FootnoteReference"/>
        </w:rPr>
        <w:footnoteReference w:id="77"/>
      </w:r>
      <w:r w:rsidR="00217BE6">
        <w:t xml:space="preserve">  In that context </w:t>
      </w:r>
      <w:r w:rsidR="00D77316">
        <w:t xml:space="preserve">parties </w:t>
      </w:r>
      <w:r w:rsidR="00217BE6">
        <w:t>must rely on market reputation.</w:t>
      </w:r>
      <w:r w:rsidR="00AF3C6E">
        <w:rPr>
          <w:rStyle w:val="FootnoteReference"/>
        </w:rPr>
        <w:footnoteReference w:id="78"/>
      </w:r>
      <w:r w:rsidR="00217BE6">
        <w:t xml:space="preserve">  The challenge is that, if courts cannot verify </w:t>
      </w:r>
      <w:r w:rsidR="00485CB8">
        <w:t>hold-up</w:t>
      </w:r>
      <w:r w:rsidR="00217BE6">
        <w:t xml:space="preserve">, other companies may </w:t>
      </w:r>
      <w:r w:rsidR="00D77316">
        <w:t>m</w:t>
      </w:r>
      <w:r w:rsidR="00217BE6">
        <w:t xml:space="preserve">ight </w:t>
      </w:r>
      <w:r w:rsidR="00D77316">
        <w:t xml:space="preserve">not </w:t>
      </w:r>
      <w:r w:rsidR="00217BE6">
        <w:t xml:space="preserve">be able to either.  </w:t>
      </w:r>
    </w:p>
    <w:p w14:paraId="7A5A7CFB" w14:textId="4D2B1DD8" w:rsidR="00CA2C5A" w:rsidRDefault="00CA2C5A" w:rsidP="003927B5">
      <w:r w:rsidRPr="007803C6">
        <w:t xml:space="preserve">A third alternative is </w:t>
      </w:r>
      <w:r w:rsidR="00877CB6" w:rsidRPr="007803C6">
        <w:t xml:space="preserve">for the parties to employ one of the renegotiation design or revelation mechanisms discussed in Section </w:t>
      </w:r>
      <w:r w:rsidR="00877CB6" w:rsidRPr="007803C6">
        <w:fldChar w:fldCharType="begin"/>
      </w:r>
      <w:r w:rsidR="00877CB6" w:rsidRPr="007803C6">
        <w:instrText xml:space="preserve"> REF _Ref494294561 \n \h </w:instrText>
      </w:r>
      <w:r w:rsidR="00D40878" w:rsidRPr="007803C6">
        <w:instrText xml:space="preserve"> \* MERGEFORMAT </w:instrText>
      </w:r>
      <w:r w:rsidR="00877CB6" w:rsidRPr="007803C6">
        <w:fldChar w:fldCharType="separate"/>
      </w:r>
      <w:r w:rsidR="001F75CE">
        <w:t>II</w:t>
      </w:r>
      <w:r w:rsidR="00877CB6" w:rsidRPr="007803C6">
        <w:fldChar w:fldCharType="end"/>
      </w:r>
      <w:r w:rsidR="00877CB6" w:rsidRPr="00D77316">
        <w:t>.</w:t>
      </w:r>
      <w:r w:rsidR="00877CB6">
        <w:t xml:space="preserve">  For instance, they could specify default trades that favor on party and give the other party the right to make a take-it-or-leave-it offer as the ADR mechanisms suggests,</w:t>
      </w:r>
      <w:r w:rsidR="00877CB6">
        <w:rPr>
          <w:rStyle w:val="FootnoteReference"/>
        </w:rPr>
        <w:footnoteReference w:id="79"/>
      </w:r>
      <w:r w:rsidR="00877CB6">
        <w:t xml:space="preserve"> or they could specify alternating price announcements and challenges alongside payments to third parties as the Moor</w:t>
      </w:r>
      <w:r w:rsidR="00D77316">
        <w:t>e-</w:t>
      </w:r>
      <w:proofErr w:type="spellStart"/>
      <w:r w:rsidR="00877CB6">
        <w:t>Repullo</w:t>
      </w:r>
      <w:proofErr w:type="spellEnd"/>
      <w:r w:rsidR="00877CB6">
        <w:t xml:space="preserve"> mechanism proposes.</w:t>
      </w:r>
      <w:r w:rsidR="00AF3C6E">
        <w:rPr>
          <w:rStyle w:val="FootnoteReference"/>
        </w:rPr>
        <w:footnoteReference w:id="80"/>
      </w:r>
      <w:r w:rsidR="00877CB6">
        <w:t xml:space="preserve">  </w:t>
      </w:r>
    </w:p>
    <w:p w14:paraId="7C79A244" w14:textId="5E323317" w:rsidR="00877CB6" w:rsidRDefault="00877CB6" w:rsidP="003927B5">
      <w:r w:rsidRPr="007803C6">
        <w:t xml:space="preserve">The weakness of these mechanisms is that they each require a strong form of commitment, </w:t>
      </w:r>
      <w:r w:rsidR="00D40878" w:rsidRPr="007803C6">
        <w:t xml:space="preserve">which </w:t>
      </w:r>
      <w:r w:rsidR="00D77316" w:rsidRPr="007803C6">
        <w:t>is a sign</w:t>
      </w:r>
      <w:r w:rsidR="00AF3C6E">
        <w:t>ificant barrier to their useful</w:t>
      </w:r>
      <w:r w:rsidR="00D77316" w:rsidRPr="007803C6">
        <w:t>ness</w:t>
      </w:r>
      <w:r w:rsidRPr="00D77316">
        <w:t>.</w:t>
      </w:r>
      <w:r>
        <w:t xml:space="preserve">  If the weaker party can refuse the take-it-or-leave-it offer and the stronger party would still trade (which it is mutually rational to do), then the ultimatum is not credible and it will not give the stronger party adequate return on its investment.  Likewise, if the parties agree to split the penalty payment to the third party rather than hand it over to that party (again which is mutually rational to do)</w:t>
      </w:r>
      <w:r w:rsidR="00D40878">
        <w:t xml:space="preserve">, then the parties do not have an incentive to truthfully announce their valuations prior to the penalty round.  Yet it is unlikely that the parties can </w:t>
      </w:r>
      <w:r w:rsidR="00B91B76">
        <w:t xml:space="preserve">credibly </w:t>
      </w:r>
      <w:r w:rsidR="00D40878">
        <w:t xml:space="preserve">commitment to actions required for renegotiation </w:t>
      </w:r>
      <w:r w:rsidR="00AF3C6E">
        <w:t>design or revelation mechanisms</w:t>
      </w:r>
      <w:r w:rsidR="00D40878">
        <w:t xml:space="preserve"> if they cannot </w:t>
      </w:r>
      <w:r w:rsidR="00B91B76">
        <w:t xml:space="preserve">make such </w:t>
      </w:r>
      <w:r w:rsidR="00D40878">
        <w:t>commitment</w:t>
      </w:r>
      <w:r w:rsidR="00B91B76">
        <w:t>s</w:t>
      </w:r>
      <w:r w:rsidR="00D40878">
        <w:t xml:space="preserve"> to the original contract to deter </w:t>
      </w:r>
      <w:r w:rsidR="00485CB8">
        <w:t>hold-up</w:t>
      </w:r>
      <w:r w:rsidR="00D40878">
        <w:t xml:space="preserve"> in the first place.  </w:t>
      </w:r>
    </w:p>
    <w:p w14:paraId="6152F8EC" w14:textId="6F476097" w:rsidR="00116836" w:rsidRDefault="00D40878" w:rsidP="003927B5">
      <w:r w:rsidRPr="007803C6">
        <w:lastRenderedPageBreak/>
        <w:t>One way to obtain this commitment, ostensibly without smart contracts and blockchain, is to include penalty clauses – liquidated damages larger than economic damages – if the parties do not comply with the mechanisms</w:t>
      </w:r>
      <w:r w:rsidRPr="00B91B76">
        <w:t>.</w:t>
      </w:r>
      <w:r w:rsidR="00AF3C6E">
        <w:rPr>
          <w:rStyle w:val="FootnoteReference"/>
        </w:rPr>
        <w:footnoteReference w:id="81"/>
      </w:r>
      <w:r>
        <w:t xml:space="preserve">  For example, the stronger party may have to pay a penalty if it makes a second offer after its take-it-or-leave-it offer</w:t>
      </w:r>
      <w:r w:rsidR="00116836">
        <w:t xml:space="preserve"> is rejected by the weaker party but before the weaker party requests the default trade in the ADR mechanism</w:t>
      </w:r>
      <w:r>
        <w:t>.</w:t>
      </w:r>
      <w:r w:rsidR="00BA6AB1">
        <w:rPr>
          <w:rStyle w:val="FootnoteReference"/>
        </w:rPr>
        <w:footnoteReference w:id="82"/>
      </w:r>
      <w:r w:rsidR="00F175A0">
        <w:t xml:space="preserve"> </w:t>
      </w:r>
      <w:r>
        <w:t xml:space="preserve"> </w:t>
      </w:r>
      <w:r w:rsidR="00F175A0">
        <w:t xml:space="preserve">Indeed, penalty clauses could go further </w:t>
      </w:r>
      <w:r w:rsidR="00B91B76">
        <w:t xml:space="preserve">and possibly </w:t>
      </w:r>
      <w:r w:rsidR="00F175A0">
        <w:t>dis</w:t>
      </w:r>
      <w:r w:rsidR="002C3EDC">
        <w:t>-</w:t>
      </w:r>
      <w:r w:rsidR="00F175A0">
        <w:t>incent</w:t>
      </w:r>
      <w:r w:rsidR="002C3EDC">
        <w:t>ivize</w:t>
      </w:r>
      <w:r w:rsidR="00F175A0">
        <w:t xml:space="preserve"> </w:t>
      </w:r>
      <w:r w:rsidR="00485CB8">
        <w:t>hold-up</w:t>
      </w:r>
      <w:r w:rsidR="00F175A0">
        <w:t xml:space="preserve"> in the first place</w:t>
      </w:r>
      <w:r>
        <w:t xml:space="preserve"> </w:t>
      </w:r>
      <w:r w:rsidR="00F175A0">
        <w:t xml:space="preserve">by penalizing deviations from the original contract terms, if the parties are comfortable with foregoing any flexibility to depart from the original contract.  </w:t>
      </w:r>
    </w:p>
    <w:p w14:paraId="47245711" w14:textId="77777777" w:rsidR="00B42175" w:rsidRDefault="00F175A0" w:rsidP="003927B5">
      <w:r w:rsidRPr="007803C6">
        <w:t xml:space="preserve">The problem with this </w:t>
      </w:r>
      <w:r w:rsidR="00B91B76" w:rsidRPr="007803C6">
        <w:t>approach</w:t>
      </w:r>
      <w:r w:rsidR="00BA6AB1" w:rsidRPr="007803C6">
        <w:t xml:space="preserve"> </w:t>
      </w:r>
      <w:r w:rsidRPr="007803C6">
        <w:t>is that courts frown upon penalty clauses</w:t>
      </w:r>
      <w:r w:rsidRPr="00B91B76">
        <w:t>,</w:t>
      </w:r>
      <w:r>
        <w:t xml:space="preserve"> though they may be more permissive in cases where both parties are sophisticated businesses rather than cases involving small businesses or individual consumers.</w:t>
      </w:r>
      <w:bookmarkStart w:id="32" w:name="_Ref508808127"/>
      <w:r w:rsidR="00BA256F">
        <w:rPr>
          <w:rStyle w:val="FootnoteReference"/>
        </w:rPr>
        <w:footnoteReference w:id="83"/>
      </w:r>
      <w:bookmarkEnd w:id="32"/>
      <w:r>
        <w:t xml:space="preserve">  If courts won’t enforce the penalty clause, it will not incent parties to commit to their roles in the mechanisms</w:t>
      </w:r>
      <w:r w:rsidR="00BA6AB1">
        <w:t xml:space="preserve"> or to their original contract terms.  </w:t>
      </w:r>
    </w:p>
    <w:p w14:paraId="582CFF24" w14:textId="77777777" w:rsidR="0036638E" w:rsidRDefault="00BA6AB1" w:rsidP="003927B5">
      <w:r w:rsidRPr="007803C6">
        <w:t xml:space="preserve">Even if courts would enforce the </w:t>
      </w:r>
      <w:r w:rsidR="00B42175" w:rsidRPr="007803C6">
        <w:t xml:space="preserve">penalty </w:t>
      </w:r>
      <w:r w:rsidRPr="007803C6">
        <w:t xml:space="preserve">clause, </w:t>
      </w:r>
      <w:r w:rsidR="0036638E" w:rsidRPr="007803C6">
        <w:t>it can skew the incentives of the two parties</w:t>
      </w:r>
      <w:r w:rsidR="0036638E" w:rsidRPr="00B91B76">
        <w:t>.</w:t>
      </w:r>
      <w:r w:rsidR="0036638E">
        <w:t xml:space="preserve">  Such clauses act like reliance damages, which are known to risk overinvestment by the protected parties.</w:t>
      </w:r>
      <w:r w:rsidR="0036638E">
        <w:rPr>
          <w:rStyle w:val="FootnoteReference"/>
        </w:rPr>
        <w:footnoteReference w:id="84"/>
      </w:r>
      <w:r w:rsidR="0036638E">
        <w:t xml:space="preserve">  The solution to overinvestment is to pay the penalties to a third party</w:t>
      </w:r>
      <w:r w:rsidR="002567FF">
        <w:t xml:space="preserve"> rather than the party making an investment</w:t>
      </w:r>
      <w:r w:rsidR="0036638E">
        <w:t>.</w:t>
      </w:r>
      <w:bookmarkStart w:id="33" w:name="_Ref494707236"/>
      <w:r w:rsidR="00BC1EBF">
        <w:rPr>
          <w:rStyle w:val="FootnoteReference"/>
        </w:rPr>
        <w:footnoteReference w:id="85"/>
      </w:r>
      <w:bookmarkEnd w:id="33"/>
      <w:r w:rsidR="0036638E">
        <w:t xml:space="preserve">  Yet </w:t>
      </w:r>
      <w:r w:rsidR="002567FF">
        <w:t xml:space="preserve">both contractual </w:t>
      </w:r>
      <w:r w:rsidR="0036638E">
        <w:t xml:space="preserve">parties have </w:t>
      </w:r>
      <w:r w:rsidR="002567FF">
        <w:t xml:space="preserve">a </w:t>
      </w:r>
      <w:r w:rsidR="0036638E">
        <w:t>mutual incentive to negotiate around that third</w:t>
      </w:r>
      <w:r w:rsidR="00B91B76">
        <w:t>-</w:t>
      </w:r>
      <w:r w:rsidR="0036638E">
        <w:t>party payment, as they did in the revelation mechanism.</w:t>
      </w:r>
      <w:bookmarkStart w:id="34" w:name="_Ref508808133"/>
      <w:r w:rsidR="00A53E63">
        <w:rPr>
          <w:rStyle w:val="FootnoteReference"/>
        </w:rPr>
        <w:footnoteReference w:id="86"/>
      </w:r>
      <w:bookmarkEnd w:id="34"/>
      <w:r w:rsidR="0036638E">
        <w:t xml:space="preserve">  </w:t>
      </w:r>
    </w:p>
    <w:p w14:paraId="5144EB5B" w14:textId="77777777" w:rsidR="00C06FFA" w:rsidRDefault="0036638E" w:rsidP="003927B5">
      <w:r w:rsidRPr="007803C6">
        <w:t>The only way to obtain commitment without skew</w:t>
      </w:r>
      <w:r w:rsidR="00C06FFA" w:rsidRPr="007803C6">
        <w:t>ing</w:t>
      </w:r>
      <w:r w:rsidRPr="007803C6">
        <w:t xml:space="preserve"> </w:t>
      </w:r>
      <w:r w:rsidR="00C06FFA" w:rsidRPr="007803C6">
        <w:t xml:space="preserve">investment </w:t>
      </w:r>
      <w:r w:rsidRPr="007803C6">
        <w:t xml:space="preserve">incentives </w:t>
      </w:r>
      <w:r w:rsidR="002567FF" w:rsidRPr="007803C6">
        <w:t xml:space="preserve">then </w:t>
      </w:r>
      <w:r w:rsidRPr="007803C6">
        <w:t>is to have an automatic payment to a third party that cannot be undone by the contractual parties</w:t>
      </w:r>
      <w:r w:rsidRPr="00B91B76">
        <w:t>.</w:t>
      </w:r>
      <w:r>
        <w:t xml:space="preserve">  For example, the parties could set up something akin to a poison pill where the contract or mechanism creates an IOU from the </w:t>
      </w:r>
      <w:r w:rsidR="002567FF">
        <w:t xml:space="preserve">penalized </w:t>
      </w:r>
      <w:r>
        <w:t xml:space="preserve">party to </w:t>
      </w:r>
      <w:r w:rsidR="002567FF">
        <w:t xml:space="preserve">a </w:t>
      </w:r>
      <w:r>
        <w:t>third part</w:t>
      </w:r>
      <w:r w:rsidR="002567FF">
        <w:t>y</w:t>
      </w:r>
      <w:r>
        <w:t>.</w:t>
      </w:r>
      <w:r w:rsidR="00A53E63">
        <w:rPr>
          <w:rStyle w:val="FootnoteReference"/>
        </w:rPr>
        <w:footnoteReference w:id="87"/>
      </w:r>
      <w:r>
        <w:t xml:space="preserve">  Of course, if there is a gap between the timing of the investment and the payment for that investment, the h</w:t>
      </w:r>
      <w:r w:rsidR="002567FF">
        <w:t>olding-</w:t>
      </w:r>
      <w:r>
        <w:t xml:space="preserve">up party could still </w:t>
      </w:r>
      <w:r w:rsidR="002567FF">
        <w:t xml:space="preserve">petition a court to </w:t>
      </w:r>
      <w:r>
        <w:t xml:space="preserve">enjoin the </w:t>
      </w:r>
      <w:r w:rsidR="00C06FFA">
        <w:t xml:space="preserve">poison pill-type penalty </w:t>
      </w:r>
      <w:r>
        <w:t xml:space="preserve">before it is triggered by failure to make payment for the investment.  </w:t>
      </w:r>
      <w:r w:rsidR="002567FF">
        <w:t xml:space="preserve">The held-up party is unlikely to invest much to stop the holding up party because it does not benefit from the payment to a third party. </w:t>
      </w:r>
    </w:p>
    <w:p w14:paraId="5C05F5BF" w14:textId="77777777" w:rsidR="00773179" w:rsidRDefault="00C06FFA" w:rsidP="003927B5">
      <w:r w:rsidRPr="007803C6">
        <w:t xml:space="preserve">To avoid both </w:t>
      </w:r>
      <w:r w:rsidR="002567FF" w:rsidRPr="007803C6">
        <w:t xml:space="preserve">circumvention </w:t>
      </w:r>
      <w:r w:rsidRPr="007803C6">
        <w:t xml:space="preserve">of the penalty by the parties </w:t>
      </w:r>
      <w:r w:rsidR="002567FF" w:rsidRPr="007803C6">
        <w:t xml:space="preserve">(directly) </w:t>
      </w:r>
      <w:r w:rsidRPr="007803C6">
        <w:t xml:space="preserve">and </w:t>
      </w:r>
      <w:r w:rsidR="002567FF" w:rsidRPr="007803C6">
        <w:t>by courts (after being petitioned by the parties) is to have the penalty be something that even the court cannot enjoin</w:t>
      </w:r>
      <w:r w:rsidR="002567FF" w:rsidRPr="002F041B">
        <w:t>.</w:t>
      </w:r>
      <w:r w:rsidR="002567FF">
        <w:t xml:space="preserve">  An outlandish but effective solution is to create a machine, have the party that needs to show commitment place a large amount of cash in the machine, then have the machine rigged to burn the cash if that party fails to meet its commitment.  </w:t>
      </w:r>
      <w:r w:rsidR="00773179">
        <w:t xml:space="preserve">The machine must have a dead hand switch so that it is triggered if anyone – even the court via injunction – tries to shut it down.  </w:t>
      </w:r>
    </w:p>
    <w:p w14:paraId="6BB18B9B" w14:textId="77777777" w:rsidR="0036638E" w:rsidRDefault="002567FF" w:rsidP="003927B5">
      <w:r w:rsidRPr="007803C6">
        <w:lastRenderedPageBreak/>
        <w:t>This machine must be all-knowing about the parties</w:t>
      </w:r>
      <w:r w:rsidR="00773179" w:rsidRPr="007803C6">
        <w:t>’</w:t>
      </w:r>
      <w:r w:rsidRPr="007803C6">
        <w:t xml:space="preserve"> accounts, otherwise the parties could </w:t>
      </w:r>
      <w:r w:rsidR="00773179" w:rsidRPr="007803C6">
        <w:t>get around even this machine</w:t>
      </w:r>
      <w:r w:rsidR="00773179" w:rsidRPr="002F041B">
        <w:t>.</w:t>
      </w:r>
      <w:r w:rsidR="00773179">
        <w:t xml:space="preserve">  Specifically, they could </w:t>
      </w:r>
      <w:r>
        <w:t xml:space="preserve">renegotiate but transact in two parts: one that appears to the machine to conform to the original contract and a second that </w:t>
      </w:r>
      <w:r w:rsidR="00773179">
        <w:t xml:space="preserve">undoes the original contract and consummates the renegotiated contract.  If the machine only observed the first transaction, it would release the cash it was holding hostage even though the second transaction consummated the renegotiated contract.  Again, investment incentives would be undermined.  </w:t>
      </w:r>
    </w:p>
    <w:p w14:paraId="1545B6BE" w14:textId="77777777" w:rsidR="002F041B" w:rsidRDefault="00773179" w:rsidP="003927B5">
      <w:r w:rsidRPr="007803C6">
        <w:t>But this machine we have described is hard to build and actually looks very much like a smart contract on blockchain.  Moreover</w:t>
      </w:r>
      <w:r w:rsidR="002F041B" w:rsidRPr="007803C6">
        <w:t>,</w:t>
      </w:r>
      <w:r w:rsidRPr="007803C6">
        <w:t xml:space="preserve"> the latter are simple and cheaper to implement</w:t>
      </w:r>
      <w:r w:rsidRPr="002F041B">
        <w:t>.</w:t>
      </w:r>
      <w:r>
        <w:t xml:space="preserve">  The smart contract is just a computer script not an awkward physical machine; it can work with digital money, which is easier to obtain than actual cash; and can be made all knowing with APIs to all the parties accounts.</w:t>
      </w:r>
      <w:r w:rsidR="00A53E63">
        <w:rPr>
          <w:rStyle w:val="FootnoteReference"/>
        </w:rPr>
        <w:footnoteReference w:id="88"/>
      </w:r>
      <w:r>
        <w:t xml:space="preserve">  Moreover, blockchain allows irreversible transfers to anonymous accounts. </w:t>
      </w:r>
    </w:p>
    <w:p w14:paraId="571DF766" w14:textId="3940080F" w:rsidR="003927B5" w:rsidRDefault="003927B5" w:rsidP="003927B5"/>
    <w:p w14:paraId="33A8EA7C" w14:textId="77777777" w:rsidR="007803C6" w:rsidRDefault="001F00E4" w:rsidP="007803C6">
      <w:pPr>
        <w:pStyle w:val="Heading1"/>
        <w:numPr>
          <w:ilvl w:val="0"/>
          <w:numId w:val="3"/>
        </w:numPr>
      </w:pPr>
      <w:bookmarkStart w:id="35" w:name="_Ref494633671"/>
      <w:bookmarkStart w:id="36" w:name="_Toc508877636"/>
      <w:r>
        <w:t>BACKGROUND ON BLOCKCHAIN AND SMART CONTRACTS</w:t>
      </w:r>
      <w:bookmarkEnd w:id="35"/>
      <w:bookmarkEnd w:id="36"/>
      <w:r>
        <w:t xml:space="preserve"> </w:t>
      </w:r>
    </w:p>
    <w:p w14:paraId="72385622" w14:textId="6F024E86" w:rsidR="00AC3EA8" w:rsidRDefault="00745700" w:rsidP="003927B5">
      <w:r>
        <w:t xml:space="preserve">We believe blockchain technology, used together with smart contracts, can overcome some of hurdles to credible commitment in contracts with current contracting technology.  </w:t>
      </w:r>
      <w:r w:rsidR="001E7242">
        <w:t>In this section</w:t>
      </w:r>
      <w:r w:rsidR="00AC3EA8">
        <w:t>,</w:t>
      </w:r>
      <w:r w:rsidR="001E7242">
        <w:t xml:space="preserve"> we describe the main </w:t>
      </w:r>
      <w:r w:rsidR="00475A10">
        <w:t xml:space="preserve">value added from </w:t>
      </w:r>
      <w:r w:rsidR="001E7242">
        <w:t xml:space="preserve">blockchain and </w:t>
      </w:r>
      <w:r w:rsidR="00475A10">
        <w:t xml:space="preserve">smart </w:t>
      </w:r>
      <w:r w:rsidR="001E7242">
        <w:t xml:space="preserve">contracts and then explain how </w:t>
      </w:r>
      <w:r w:rsidR="00475A10">
        <w:t xml:space="preserve">these technologies might better </w:t>
      </w:r>
      <w:r w:rsidR="001E7242">
        <w:t xml:space="preserve">enable the sort of contractual commitment required either to stop all renegotiation or to enable the use of renegotiation design or revelation mechanisms, the two strategies for eliminating </w:t>
      </w:r>
      <w:r w:rsidR="00485CB8">
        <w:t>hold-up</w:t>
      </w:r>
      <w:r w:rsidR="001E7242">
        <w:t>.</w:t>
      </w:r>
    </w:p>
    <w:p w14:paraId="3C556F9A" w14:textId="77777777" w:rsidR="005007AA" w:rsidRDefault="005007AA" w:rsidP="003927B5"/>
    <w:p w14:paraId="764D544E" w14:textId="77777777" w:rsidR="001E7242" w:rsidRDefault="001E7242" w:rsidP="00155C53">
      <w:pPr>
        <w:pStyle w:val="Heading2"/>
        <w:numPr>
          <w:ilvl w:val="0"/>
          <w:numId w:val="9"/>
        </w:numPr>
      </w:pPr>
      <w:bookmarkStart w:id="37" w:name="_Ref494707815"/>
      <w:bookmarkStart w:id="38" w:name="_Toc508877637"/>
      <w:r>
        <w:t>The value of blockchain</w:t>
      </w:r>
      <w:bookmarkEnd w:id="37"/>
      <w:bookmarkEnd w:id="38"/>
    </w:p>
    <w:p w14:paraId="0FA81B37" w14:textId="77777777" w:rsidR="001E7242" w:rsidRPr="00D44AD9" w:rsidRDefault="001E7242" w:rsidP="001E7242">
      <w:r w:rsidRPr="00D44AD9">
        <w:t xml:space="preserve">Blockchain, a computer science innovation introduced by Satoshi </w:t>
      </w:r>
      <w:proofErr w:type="spellStart"/>
      <w:r w:rsidRPr="00D44AD9">
        <w:t>Nakamoto</w:t>
      </w:r>
      <w:proofErr w:type="spellEnd"/>
      <w:r w:rsidRPr="00D44AD9">
        <w:t xml:space="preserve"> in 2008, is described as </w:t>
      </w:r>
      <w:r>
        <w:t>a</w:t>
      </w:r>
      <w:r w:rsidRPr="00D44AD9">
        <w:t xml:space="preserve"> distributed or decentralized</w:t>
      </w:r>
      <w:r>
        <w:t xml:space="preserve">, open and </w:t>
      </w:r>
      <w:r w:rsidR="00C71A8D">
        <w:t xml:space="preserve">secure </w:t>
      </w:r>
      <w:r w:rsidRPr="00D44AD9">
        <w:t xml:space="preserve">ledger, meaning it </w:t>
      </w:r>
      <w:r>
        <w:t xml:space="preserve">that </w:t>
      </w:r>
      <w:r w:rsidRPr="00D44AD9">
        <w:t xml:space="preserve">verifies </w:t>
      </w:r>
      <w:r>
        <w:t xml:space="preserve">transactions </w:t>
      </w:r>
      <w:r w:rsidRPr="00D44AD9">
        <w:t>are intended</w:t>
      </w:r>
      <w:r>
        <w:t>, feasible</w:t>
      </w:r>
      <w:r w:rsidRPr="00D44AD9">
        <w:t xml:space="preserve"> </w:t>
      </w:r>
      <w:r>
        <w:t xml:space="preserve">and executed </w:t>
      </w:r>
      <w:r w:rsidRPr="00D44AD9">
        <w:t>through a decentralized system rather than through a central authority</w:t>
      </w:r>
      <w:r>
        <w:t xml:space="preserve"> (</w:t>
      </w:r>
      <w:r w:rsidRPr="00D44AD9">
        <w:t>like a government</w:t>
      </w:r>
      <w:r>
        <w:t xml:space="preserve"> or bank</w:t>
      </w:r>
      <w:r w:rsidR="00475A10">
        <w:t>, which might be costly or untrustworthy</w:t>
      </w:r>
      <w:r>
        <w:t>),</w:t>
      </w:r>
      <w:r w:rsidRPr="00D44AD9">
        <w:t xml:space="preserve"> records transactions in a public way </w:t>
      </w:r>
      <w:r w:rsidR="00475A10">
        <w:t xml:space="preserve">(so as to build reputations and counterparty trust), </w:t>
      </w:r>
      <w:r w:rsidRPr="00D44AD9">
        <w:t>and</w:t>
      </w:r>
      <w:r>
        <w:t xml:space="preserve"> ensures transaction are not reversible (to protect </w:t>
      </w:r>
      <w:r w:rsidR="00475A10">
        <w:t xml:space="preserve">parties </w:t>
      </w:r>
      <w:r>
        <w:t xml:space="preserve">from </w:t>
      </w:r>
      <w:r w:rsidR="00475A10">
        <w:t xml:space="preserve">certain types of </w:t>
      </w:r>
      <w:r>
        <w:t>theft)</w:t>
      </w:r>
      <w:r w:rsidRPr="00D44AD9">
        <w:t>.</w:t>
      </w:r>
      <w:bookmarkStart w:id="39" w:name="_Ref494691776"/>
      <w:r w:rsidR="00A53E63" w:rsidRPr="00D44AD9">
        <w:rPr>
          <w:rStyle w:val="FootnoteReference"/>
        </w:rPr>
        <w:footnoteReference w:id="89"/>
      </w:r>
      <w:bookmarkEnd w:id="39"/>
      <w:r w:rsidRPr="00D44AD9">
        <w:t xml:space="preserve">  Although </w:t>
      </w:r>
      <w:proofErr w:type="spellStart"/>
      <w:r w:rsidRPr="00D44AD9">
        <w:t>Nakamoto</w:t>
      </w:r>
      <w:proofErr w:type="spellEnd"/>
      <w:r w:rsidRPr="00D44AD9">
        <w:t xml:space="preserve"> initially intended the term transaction to mean a monetary transfer, a transaction recorded in the blockchain can be any set of promises, i.e., a contract, or indeed any statement.</w:t>
      </w:r>
      <w:r w:rsidR="00A53E63">
        <w:rPr>
          <w:rStyle w:val="FootnoteReference"/>
        </w:rPr>
        <w:footnoteReference w:id="90"/>
      </w:r>
      <w:r w:rsidRPr="00D44AD9">
        <w:t xml:space="preserve"> </w:t>
      </w:r>
    </w:p>
    <w:p w14:paraId="3F28CF98" w14:textId="77777777" w:rsidR="001E7242" w:rsidRDefault="001E7242" w:rsidP="001E7242">
      <w:pPr>
        <w:pStyle w:val="Heading3"/>
        <w:numPr>
          <w:ilvl w:val="0"/>
          <w:numId w:val="10"/>
        </w:numPr>
      </w:pPr>
      <w:r>
        <w:t xml:space="preserve">The </w:t>
      </w:r>
      <w:r w:rsidR="00C71A8D">
        <w:t xml:space="preserve">core </w:t>
      </w:r>
      <w:r>
        <w:t>function of blockchain is witnessing statements</w:t>
      </w:r>
      <w:r w:rsidR="00C71A8D">
        <w:t xml:space="preserve"> </w:t>
      </w:r>
      <w:r w:rsidR="00714544">
        <w:t>(without relying on any one witness)</w:t>
      </w:r>
    </w:p>
    <w:p w14:paraId="1BB0C00E" w14:textId="77777777" w:rsidR="001E7242" w:rsidRPr="00D44AD9" w:rsidRDefault="001E7242" w:rsidP="001E7242">
      <w:r w:rsidRPr="00B7715A">
        <w:t>A simple analogy clarifies the core function of Blockchain.</w:t>
      </w:r>
      <w:r w:rsidRPr="00D44AD9">
        <w:t xml:space="preserve">  Blockchain – which refers both to the method by which a record of statements is made and </w:t>
      </w:r>
      <w:r w:rsidR="00714544">
        <w:t xml:space="preserve">to </w:t>
      </w:r>
      <w:r w:rsidRPr="00D44AD9">
        <w:t xml:space="preserve">the recorded statements themselves – is akin to a witness.  Suppose A and B agree that A will rent an apartment to B for $600 per month.  </w:t>
      </w:r>
      <w:r w:rsidR="00475A10">
        <w:t xml:space="preserve">We can decompose </w:t>
      </w:r>
      <w:r w:rsidR="00714544">
        <w:t xml:space="preserve">that agreement </w:t>
      </w:r>
      <w:r w:rsidR="00475A10">
        <w:t xml:space="preserve">into a statement by A that A will give B access to the apartment and by B </w:t>
      </w:r>
      <w:r w:rsidR="00475A10">
        <w:lastRenderedPageBreak/>
        <w:t xml:space="preserve">that B will pay A </w:t>
      </w:r>
      <w:proofErr w:type="spellStart"/>
      <w:r w:rsidR="00475A10">
        <w:t>a</w:t>
      </w:r>
      <w:proofErr w:type="spellEnd"/>
      <w:r w:rsidR="00475A10">
        <w:t xml:space="preserve"> given amount per month. </w:t>
      </w:r>
      <w:r w:rsidRPr="00D44AD9">
        <w:t xml:space="preserve">To commemorate their </w:t>
      </w:r>
      <w:r w:rsidR="00475A10">
        <w:t>transaction</w:t>
      </w:r>
      <w:r w:rsidRPr="00D44AD9">
        <w:t xml:space="preserve">, they can </w:t>
      </w:r>
      <w:r w:rsidR="00475A10">
        <w:t xml:space="preserve">each write down these statements on paper and sign those statements.  </w:t>
      </w:r>
      <w:r w:rsidR="00714544">
        <w:t xml:space="preserve">The written statements can serve as proof to third parties that A and B made the statements written down.  </w:t>
      </w:r>
      <w:r w:rsidR="00475A10">
        <w:t>A</w:t>
      </w:r>
      <w:r w:rsidRPr="00D44AD9">
        <w:t xml:space="preserve">n alternative is to find a witness.  If that witness is a neutral third party, then she can testify credibly to outsiders that the </w:t>
      </w:r>
      <w:r w:rsidR="00475A10">
        <w:t>statements that A and B make</w:t>
      </w:r>
      <w:r w:rsidRPr="00D44AD9">
        <w:t xml:space="preserve">.  </w:t>
      </w:r>
      <w:r w:rsidR="00714544">
        <w:t xml:space="preserve">Either way, </w:t>
      </w:r>
      <w:r w:rsidRPr="00D44AD9">
        <w:t xml:space="preserve">outsiders </w:t>
      </w:r>
      <w:r w:rsidR="00714544">
        <w:t xml:space="preserve">would be able </w:t>
      </w:r>
      <w:r w:rsidRPr="00D44AD9">
        <w:t xml:space="preserve">to </w:t>
      </w:r>
      <w:r w:rsidR="00714544">
        <w:t xml:space="preserve">more confidently </w:t>
      </w:r>
      <w:r w:rsidRPr="00D44AD9">
        <w:t>rely on statements from B that she has an apartment she wants to rent out, or from A that he has $600 to spend.</w:t>
      </w:r>
      <w:r w:rsidR="00714544">
        <w:rPr>
          <w:rStyle w:val="FootnoteReference"/>
        </w:rPr>
        <w:footnoteReference w:id="91"/>
      </w:r>
      <w:r w:rsidRPr="00D44AD9">
        <w:t xml:space="preserve">    </w:t>
      </w:r>
    </w:p>
    <w:p w14:paraId="66C497A6" w14:textId="77777777" w:rsidR="001E7242" w:rsidRPr="00D44AD9" w:rsidRDefault="001E7242" w:rsidP="001E7242">
      <w:r w:rsidRPr="00BB2016">
        <w:t xml:space="preserve">A witness’s value </w:t>
      </w:r>
      <w:r w:rsidR="00714544" w:rsidRPr="00BB2016">
        <w:t xml:space="preserve">– relative to paper statements – </w:t>
      </w:r>
      <w:r w:rsidRPr="00BB2016">
        <w:t xml:space="preserve">is not that they are uniquely credible, but that they </w:t>
      </w:r>
      <w:r w:rsidR="00714544" w:rsidRPr="00BB2016">
        <w:t>incrementally improve the credibility of statements</w:t>
      </w:r>
      <w:r w:rsidR="00EC05CD" w:rsidRPr="00BB2016">
        <w:t xml:space="preserve"> and in some cases </w:t>
      </w:r>
      <w:r w:rsidR="00714544" w:rsidRPr="00BB2016">
        <w:t xml:space="preserve">more cost-effectively </w:t>
      </w:r>
      <w:r w:rsidR="00EC05CD" w:rsidRPr="00BB2016">
        <w:t xml:space="preserve">enhance </w:t>
      </w:r>
      <w:r w:rsidR="00714544" w:rsidRPr="00BB2016">
        <w:t xml:space="preserve">such </w:t>
      </w:r>
      <w:r w:rsidR="00EC05CD" w:rsidRPr="00BB2016">
        <w:t>credibility</w:t>
      </w:r>
      <w:r w:rsidRPr="00BB2016">
        <w:t>.</w:t>
      </w:r>
      <w:r w:rsidRPr="00D44AD9">
        <w:t xml:space="preserve">  </w:t>
      </w:r>
      <w:r w:rsidR="00714544">
        <w:t>Certainly, a</w:t>
      </w:r>
      <w:r w:rsidRPr="00D44AD9">
        <w:t xml:space="preserve"> paper </w:t>
      </w:r>
      <w:r w:rsidR="00714544">
        <w:t xml:space="preserve">document </w:t>
      </w:r>
      <w:r w:rsidR="00EC05CD">
        <w:t xml:space="preserve">plus </w:t>
      </w:r>
      <w:r w:rsidRPr="00D44AD9">
        <w:t xml:space="preserve">a witness </w:t>
      </w:r>
      <w:r w:rsidR="00EC05CD">
        <w:t xml:space="preserve">is </w:t>
      </w:r>
      <w:r w:rsidRPr="00D44AD9">
        <w:t xml:space="preserve">more credible than </w:t>
      </w:r>
      <w:r w:rsidR="00EC05CD">
        <w:t xml:space="preserve">just a paper </w:t>
      </w:r>
      <w:r w:rsidR="00714544">
        <w:t>document</w:t>
      </w:r>
      <w:r w:rsidR="00EC05CD">
        <w:t xml:space="preserve">.  </w:t>
      </w:r>
      <w:r w:rsidRPr="00D44AD9">
        <w:t xml:space="preserve">Witnesses may </w:t>
      </w:r>
      <w:r w:rsidR="00EC05CD">
        <w:t xml:space="preserve">also </w:t>
      </w:r>
      <w:r w:rsidRPr="00D44AD9">
        <w:t xml:space="preserve">have two advantages over paper </w:t>
      </w:r>
      <w:r w:rsidR="00475A10">
        <w:t>documents</w:t>
      </w:r>
      <w:r w:rsidRPr="00D44AD9">
        <w:t xml:space="preserve">. </w:t>
      </w:r>
      <w:r w:rsidR="00714544">
        <w:t xml:space="preserve"> </w:t>
      </w:r>
      <w:r w:rsidRPr="00D44AD9">
        <w:t xml:space="preserve">In some cases, the witness may be cheaper, because paper </w:t>
      </w:r>
      <w:r w:rsidR="00475A10">
        <w:t xml:space="preserve">documents </w:t>
      </w:r>
      <w:r w:rsidRPr="00D44AD9">
        <w:t>may require the assistance of costly lawyers</w:t>
      </w:r>
      <w:r w:rsidR="00714544">
        <w:t xml:space="preserve"> to write</w:t>
      </w:r>
      <w:r w:rsidRPr="00D44AD9">
        <w:t>. The witness also may be more credible, because a paper contract can sometimes be forged</w:t>
      </w:r>
      <w:r w:rsidRPr="00D44AD9">
        <w:rPr>
          <w:rStyle w:val="CommentReference"/>
        </w:rPr>
        <w:t>.</w:t>
      </w:r>
      <w:r w:rsidRPr="00D44AD9">
        <w:t xml:space="preserve"> </w:t>
      </w:r>
      <w:r w:rsidR="00EC05CD">
        <w:t xml:space="preserve">This </w:t>
      </w:r>
      <w:r w:rsidR="00714544">
        <w:t xml:space="preserve">is not always true: a </w:t>
      </w:r>
      <w:r w:rsidRPr="00D44AD9">
        <w:t>witness may lie</w:t>
      </w:r>
      <w:r w:rsidR="00EC05CD">
        <w:t xml:space="preserve"> if they are biased in favor of or bribed by one of the parties</w:t>
      </w:r>
      <w:r w:rsidRPr="00D44AD9">
        <w:t xml:space="preserve">.  </w:t>
      </w:r>
      <w:r w:rsidR="00714544">
        <w:t xml:space="preserve">But the witness may be better than paper documents in some cases.  </w:t>
      </w:r>
    </w:p>
    <w:p w14:paraId="1EFAAED9" w14:textId="41EAAB4B" w:rsidR="001E7242" w:rsidRPr="00D44AD9" w:rsidRDefault="001E7242" w:rsidP="001E7242">
      <w:r w:rsidRPr="002C3EDC">
        <w:t>Blockchain is simply a new technology to witness transactions</w:t>
      </w:r>
      <w:r w:rsidR="00BB2016" w:rsidRPr="00BB2016">
        <w:t>.</w:t>
      </w:r>
      <w:r w:rsidR="00BB2016">
        <w:t xml:space="preserve">  The old-</w:t>
      </w:r>
      <w:r w:rsidRPr="00D44AD9">
        <w:t xml:space="preserve">fashioned approach </w:t>
      </w:r>
      <w:r w:rsidR="000A1130">
        <w:t>is</w:t>
      </w:r>
      <w:r w:rsidRPr="00D44AD9">
        <w:t xml:space="preserve"> to have another human, ideally unrelated (or equally related) to the two or more parties to a transaction, observe the transaction.  In </w:t>
      </w:r>
      <w:r w:rsidR="000A1130">
        <w:t xml:space="preserve">some </w:t>
      </w:r>
      <w:r w:rsidRPr="00D44AD9">
        <w:t xml:space="preserve">cases, it </w:t>
      </w:r>
      <w:r w:rsidR="00714544">
        <w:t xml:space="preserve">was a central, privileged party, such as </w:t>
      </w:r>
      <w:r w:rsidRPr="00D44AD9">
        <w:t>the government, e.g., when a judge witnesses a wedding, or a bank</w:t>
      </w:r>
      <w:r w:rsidR="00714544">
        <w:t xml:space="preserve">, which might validate a check </w:t>
      </w:r>
      <w:r w:rsidRPr="00D44AD9">
        <w:t xml:space="preserve">from B to A.  </w:t>
      </w:r>
      <w:r w:rsidR="000A1130">
        <w:t xml:space="preserve">In other </w:t>
      </w:r>
      <w:proofErr w:type="gramStart"/>
      <w:r w:rsidR="000A1130">
        <w:t>cases</w:t>
      </w:r>
      <w:proofErr w:type="gramEnd"/>
      <w:r w:rsidR="000A1130">
        <w:t xml:space="preserve"> it was simply an authorized third party, e.g., a public notary.  In yet other cases, the witnessing is recognized ex post, as required, as when a court admits as probative evidence such as a document that was signed by both parties.  </w:t>
      </w:r>
      <w:proofErr w:type="spellStart"/>
      <w:r w:rsidRPr="00D44AD9">
        <w:t>Blockchain’s</w:t>
      </w:r>
      <w:proofErr w:type="spellEnd"/>
      <w:r w:rsidRPr="00D44AD9">
        <w:t xml:space="preserve"> approach </w:t>
      </w:r>
      <w:r w:rsidR="00714544">
        <w:t xml:space="preserve">to witnessing is different: it </w:t>
      </w:r>
      <w:r w:rsidRPr="00D44AD9">
        <w:t>use</w:t>
      </w:r>
      <w:r w:rsidR="00714544">
        <w:t>s</w:t>
      </w:r>
      <w:r w:rsidRPr="00D44AD9">
        <w:t xml:space="preserve"> </w:t>
      </w:r>
      <w:r w:rsidR="00714544">
        <w:t xml:space="preserve">cryptographic algorithms </w:t>
      </w:r>
      <w:r w:rsidRPr="00D44AD9">
        <w:t xml:space="preserve">mediated by a computer network.  </w:t>
      </w:r>
    </w:p>
    <w:p w14:paraId="121271C2" w14:textId="7949426F" w:rsidR="001E7242" w:rsidRPr="00D44AD9" w:rsidRDefault="001E7242" w:rsidP="001E7242">
      <w:r w:rsidRPr="00D44AD9">
        <w:t xml:space="preserve">At its base, blockchain sets up a network.  Two of the more popular such networks are Bitcoin and </w:t>
      </w:r>
      <w:proofErr w:type="spellStart"/>
      <w:r w:rsidRPr="00D44AD9">
        <w:t>Ethereum</w:t>
      </w:r>
      <w:proofErr w:type="spellEnd"/>
      <w:r w:rsidRPr="00D44AD9">
        <w:t>.</w:t>
      </w:r>
      <w:r w:rsidR="00902380">
        <w:rPr>
          <w:rStyle w:val="FootnoteReference"/>
        </w:rPr>
        <w:footnoteReference w:id="92"/>
      </w:r>
      <w:r w:rsidRPr="00D44AD9">
        <w:t xml:space="preserve">  If A and B want to transact, they each announce their transaction to the network.  Blockchain sets up a method by which </w:t>
      </w:r>
      <w:r w:rsidR="00714544">
        <w:t xml:space="preserve">computers </w:t>
      </w:r>
      <w:r w:rsidRPr="00D44AD9">
        <w:t>on the network, called “nodes,” can hear the messages from A and B. The nodes then produce evidence that they heard that message, i.e., they validate it.</w:t>
      </w:r>
      <w:r w:rsidR="009B52C3">
        <w:rPr>
          <w:rStyle w:val="FootnoteReference"/>
        </w:rPr>
        <w:footnoteReference w:id="93"/>
      </w:r>
      <w:r w:rsidRPr="00D44AD9">
        <w:t xml:space="preserve">  </w:t>
      </w:r>
    </w:p>
    <w:p w14:paraId="68A2D86B" w14:textId="5FC48C48" w:rsidR="001E7242" w:rsidRPr="00D44AD9" w:rsidRDefault="001E7242" w:rsidP="001E7242">
      <w:r w:rsidRPr="00D44AD9">
        <w:t>Technically speaking, the evidence that validates a transaction on a blockchain network is the output from a so-called “hash function”, a type of one-way function in mathematics.</w:t>
      </w:r>
      <w:bookmarkStart w:id="40" w:name="_Ref494692620"/>
      <w:r w:rsidRPr="00D44AD9">
        <w:rPr>
          <w:rStyle w:val="FootnoteReference"/>
        </w:rPr>
        <w:footnoteReference w:id="94"/>
      </w:r>
      <w:bookmarkEnd w:id="40"/>
      <w:r w:rsidRPr="00D44AD9">
        <w:t xml:space="preserve">  A hash function is an </w:t>
      </w:r>
      <w:r w:rsidRPr="00D44AD9">
        <w:lastRenderedPageBreak/>
        <w:t xml:space="preserve">algorithm wherein, upon hearing what A and B say, the node – call her </w:t>
      </w:r>
      <w:proofErr w:type="spellStart"/>
      <w:r w:rsidRPr="00D44AD9">
        <w:t>W as</w:t>
      </w:r>
      <w:proofErr w:type="spellEnd"/>
      <w:r w:rsidRPr="00D44AD9">
        <w:t xml:space="preserve"> it serves as a witness – transforms the message into a “hash”. (The action of transforming the message is called ‘hashing’).  The key feature of the hash is that people who observe it know that </w:t>
      </w:r>
      <w:proofErr w:type="spellStart"/>
      <w:r w:rsidRPr="00D44AD9">
        <w:t>W</w:t>
      </w:r>
      <w:proofErr w:type="spellEnd"/>
      <w:r w:rsidRPr="00D44AD9">
        <w:t xml:space="preserve"> must have witnessed A and B saying they were going </w:t>
      </w:r>
      <w:r w:rsidR="00DC15FD">
        <w:t xml:space="preserve">give access to an </w:t>
      </w:r>
      <w:r w:rsidRPr="00D44AD9">
        <w:t xml:space="preserve">apartment </w:t>
      </w:r>
      <w:r w:rsidR="00DC15FD">
        <w:t xml:space="preserve">and pay </w:t>
      </w:r>
      <w:r w:rsidRPr="00D44AD9">
        <w:t>$600/month</w:t>
      </w:r>
      <w:r w:rsidR="00DC15FD">
        <w:t>, respectively</w:t>
      </w:r>
      <w:r w:rsidR="009B52C3">
        <w:t xml:space="preserve">.  How do they know that?  </w:t>
      </w:r>
      <w:r w:rsidRPr="00D44AD9">
        <w:t xml:space="preserve">Because hash functions have the property that there is no way for W to produce </w:t>
      </w:r>
      <w:r w:rsidR="00DC15FD">
        <w:t xml:space="preserve">its </w:t>
      </w:r>
      <w:r w:rsidRPr="00D44AD9">
        <w:t xml:space="preserve">hash unless </w:t>
      </w:r>
      <w:r w:rsidR="00DC15FD">
        <w:t xml:space="preserve">its </w:t>
      </w:r>
      <w:r w:rsidRPr="00D44AD9">
        <w:t xml:space="preserve">heard A and B say they were going to </w:t>
      </w:r>
      <w:r w:rsidR="00DC15FD">
        <w:t xml:space="preserve">give access to an apartment and pay </w:t>
      </w:r>
      <w:r w:rsidRPr="00D44AD9">
        <w:t>$600/month</w:t>
      </w:r>
      <w:r w:rsidR="00DC15FD">
        <w:t>, respe</w:t>
      </w:r>
      <w:r w:rsidR="00144015">
        <w:t>ct</w:t>
      </w:r>
      <w:r w:rsidR="00DC15FD">
        <w:t>ively</w:t>
      </w:r>
      <w:r w:rsidRPr="00D44AD9">
        <w:t>.  In other words, one of the inputs to the hash function is the announced transaction and the output is a hash that validates that the transaction was indeed announced.</w:t>
      </w:r>
      <w:r w:rsidR="00B819BF">
        <w:rPr>
          <w:rStyle w:val="FootnoteReference"/>
        </w:rPr>
        <w:footnoteReference w:id="95"/>
      </w:r>
    </w:p>
    <w:p w14:paraId="4A5582DF" w14:textId="3C3CE464" w:rsidR="001E7242" w:rsidRPr="00D44AD9" w:rsidRDefault="001E7242" w:rsidP="001E7242">
      <w:r w:rsidRPr="00D44AD9">
        <w:t xml:space="preserve">Once the network produces evidence of a transaction, i.e., the hash, it is added to a list of previously witnessed transactions.  The whole list is called the blockchain, so sometimes people say they </w:t>
      </w:r>
      <w:r w:rsidR="00144015">
        <w:t>“</w:t>
      </w:r>
      <w:r w:rsidRPr="00D44AD9">
        <w:t>add the hash to the blockchain</w:t>
      </w:r>
      <w:r w:rsidR="00144015">
        <w:t>”</w:t>
      </w:r>
      <w:r w:rsidRPr="00D44AD9">
        <w:t>.</w:t>
      </w:r>
      <w:r w:rsidR="00B819BF">
        <w:rPr>
          <w:rStyle w:val="FootnoteReference"/>
        </w:rPr>
        <w:footnoteReference w:id="96"/>
      </w:r>
      <w:r w:rsidRPr="00D44AD9">
        <w:t xml:space="preserve">  Because the blockchain is a list of transactions, it is also called a ledger.</w:t>
      </w:r>
      <w:r w:rsidR="0027250A">
        <w:rPr>
          <w:rStyle w:val="FootnoteReference"/>
        </w:rPr>
        <w:footnoteReference w:id="97"/>
      </w:r>
      <w:r w:rsidRPr="00D44AD9">
        <w:t xml:space="preserve">  </w:t>
      </w:r>
    </w:p>
    <w:p w14:paraId="5608D92B" w14:textId="77777777" w:rsidR="001E7242" w:rsidRDefault="00CB0C34" w:rsidP="00CB0C34">
      <w:pPr>
        <w:pStyle w:val="Heading3"/>
        <w:numPr>
          <w:ilvl w:val="0"/>
          <w:numId w:val="10"/>
        </w:numPr>
      </w:pPr>
      <w:r>
        <w:t>Blockchain is an open ledger to take advantage of the economies of scale from witnessing</w:t>
      </w:r>
    </w:p>
    <w:p w14:paraId="2C801DD7" w14:textId="09B870FA" w:rsidR="00CB0C34" w:rsidRPr="0002335B" w:rsidRDefault="00CB0C34" w:rsidP="00CB0C34">
      <w:r w:rsidRPr="0002335B">
        <w:t xml:space="preserve">Blockchain is often described as a public, distributed ledger.  The distributed portion refers to the method of witnessing, which </w:t>
      </w:r>
      <w:r w:rsidR="00DC15FD">
        <w:t xml:space="preserve">we just </w:t>
      </w:r>
      <w:r w:rsidRPr="0002335B">
        <w:t xml:space="preserve">described.  But the open ledger portion of this refers to the </w:t>
      </w:r>
      <w:r w:rsidR="00DC15FD">
        <w:t>fact that the blockchain is publicly available.</w:t>
      </w:r>
      <w:r w:rsidR="0027250A">
        <w:rPr>
          <w:rStyle w:val="FootnoteReference"/>
        </w:rPr>
        <w:footnoteReference w:id="98"/>
      </w:r>
      <w:r w:rsidR="00DC15FD">
        <w:t xml:space="preserve">  The reason it is open is that there are </w:t>
      </w:r>
      <w:r w:rsidRPr="0002335B">
        <w:t>economies of scale from witnessing.</w:t>
      </w:r>
    </w:p>
    <w:p w14:paraId="4A058511" w14:textId="5349B397" w:rsidR="00CB0C34" w:rsidRPr="0002335B" w:rsidRDefault="00CB0C34" w:rsidP="00CB0C34">
      <w:r w:rsidRPr="0002335B">
        <w:t>By economies of scale in witnessing, we mean that the value of witnessing two transactions is worth more than witnessing just one transaction.  To see why that is, consider our rental transaction: A gives B rights to an apartment and B gives A $600 per month.  Suppose C wants to sublease the apartment.  If C is able to observe that A gave B rights to the apartment, C is more confident that B has rights to the apartment C wants.  Of course, the fact that potential counterparties benefit from observing A and B’s exchange just means that witnessing A and B’s exchange is valuable.  To show economies we must show that D, who wants to use the apartment C has for a weekend in a</w:t>
      </w:r>
      <w:r w:rsidR="007810D1">
        <w:t>n</w:t>
      </w:r>
      <w:r w:rsidRPr="0002335B">
        <w:t xml:space="preserve"> Air</w:t>
      </w:r>
      <w:r w:rsidR="00AD196A">
        <w:t>b</w:t>
      </w:r>
      <w:r w:rsidRPr="0002335B">
        <w:t xml:space="preserve">nb-type transaction, benefits not only from seeing B’s transfer to C, but also A’s transfer to B.  That is certainly the case: seeing A </w:t>
      </w:r>
      <w:proofErr w:type="gramStart"/>
      <w:r w:rsidRPr="0002335B">
        <w:t>give</w:t>
      </w:r>
      <w:proofErr w:type="gramEnd"/>
      <w:r w:rsidRPr="0002335B">
        <w:t xml:space="preserve"> B the apartment gives D confidence that B had an apartment to give to C.  In other words, being able to observe multiple transactions increases a party’s confidence that their counterparty actually ha</w:t>
      </w:r>
      <w:r w:rsidR="00AD196A">
        <w:t>s</w:t>
      </w:r>
      <w:r w:rsidRPr="0002335B">
        <w:t xml:space="preserve"> the asset that is to be transferred to the party.  There are economies because once A and B’s transaction is </w:t>
      </w:r>
      <w:r w:rsidRPr="0002335B">
        <w:lastRenderedPageBreak/>
        <w:t>observed and publicly validated on the blockchain, it can be used both by C and, without additional cost, by D.</w:t>
      </w:r>
      <w:r w:rsidRPr="0002335B">
        <w:rPr>
          <w:rStyle w:val="FootnoteReference"/>
        </w:rPr>
        <w:footnoteReference w:id="99"/>
      </w:r>
      <w:r w:rsidRPr="0002335B">
        <w:t xml:space="preserve">  </w:t>
      </w:r>
    </w:p>
    <w:p w14:paraId="50CEAD59" w14:textId="49161D07" w:rsidR="00CB0C34" w:rsidRDefault="00CB0C34" w:rsidP="00CB0C34">
      <w:r w:rsidRPr="0002335B">
        <w:t xml:space="preserve">A necessary condition for witnessing to have economies of scale is that the validation be made public and that ownership be traceable across transactions.  To reduce transactions costs, the public validation should be maintained in a database where public validation of other related transactions </w:t>
      </w:r>
      <w:r w:rsidR="00AD196A">
        <w:t>is</w:t>
      </w:r>
      <w:r w:rsidRPr="0002335B">
        <w:t xml:space="preserve"> maintained.  So</w:t>
      </w:r>
      <w:r w:rsidR="00AD196A">
        <w:t>,</w:t>
      </w:r>
      <w:r w:rsidRPr="0002335B">
        <w:t xml:space="preserve"> the </w:t>
      </w:r>
      <w:r w:rsidR="00DC15FD">
        <w:t xml:space="preserve">feature </w:t>
      </w:r>
      <w:r w:rsidRPr="0002335B">
        <w:t>of blockchain that achieves these economi</w:t>
      </w:r>
      <w:r w:rsidR="00AD196A">
        <w:t>e</w:t>
      </w:r>
      <w:r w:rsidRPr="0002335B">
        <w:t xml:space="preserve">s of scale </w:t>
      </w:r>
      <w:r w:rsidR="00DC15FD">
        <w:t>is that it is publicly searchable</w:t>
      </w:r>
      <w:r w:rsidRPr="0002335B">
        <w:t>.</w:t>
      </w:r>
      <w:r w:rsidR="00AA145C">
        <w:rPr>
          <w:rStyle w:val="FootnoteReference"/>
        </w:rPr>
        <w:footnoteReference w:id="100"/>
      </w:r>
    </w:p>
    <w:p w14:paraId="23DD16CF" w14:textId="77777777" w:rsidR="00DC15FD" w:rsidRDefault="00DC15FD" w:rsidP="00CB0C34">
      <w:r w:rsidRPr="0002335B">
        <w:t xml:space="preserve">Earlier we said that the core function of blockchain is witnessing rather than public reporting.  We said that in part because blockchain without witnessing is just an open database, like the title registry that tracks land ownership.  It is witnessing that gives entries into the database value.  </w:t>
      </w:r>
      <w:r>
        <w:t>In the last section, we noted blockchain is an open database.</w:t>
      </w:r>
    </w:p>
    <w:p w14:paraId="73C0D71E" w14:textId="77777777" w:rsidR="00696988" w:rsidRPr="0002335B" w:rsidRDefault="00696988" w:rsidP="00696988">
      <w:pPr>
        <w:pStyle w:val="Heading3"/>
        <w:numPr>
          <w:ilvl w:val="0"/>
          <w:numId w:val="10"/>
        </w:numPr>
      </w:pPr>
      <w:bookmarkStart w:id="41" w:name="_Ref494707816"/>
      <w:r>
        <w:t>Security and the inalterability of blockchain</w:t>
      </w:r>
      <w:bookmarkEnd w:id="41"/>
    </w:p>
    <w:p w14:paraId="48098485" w14:textId="0796F14E" w:rsidR="00CB0C34" w:rsidRPr="0002335B" w:rsidRDefault="00DC15FD" w:rsidP="00CB0C34">
      <w:r>
        <w:t xml:space="preserve">A </w:t>
      </w:r>
      <w:r w:rsidR="00CB0C34" w:rsidRPr="0002335B">
        <w:t xml:space="preserve">feature that distinguishes a blockchain public database of </w:t>
      </w:r>
      <w:r w:rsidR="00696988" w:rsidRPr="0002335B">
        <w:t>transactions</w:t>
      </w:r>
      <w:r w:rsidR="00CB0C34" w:rsidRPr="0002335B">
        <w:t xml:space="preserve"> from other public databases of transactions</w:t>
      </w:r>
      <w:r w:rsidR="001B4E6E">
        <w:t xml:space="preserve"> is that</w:t>
      </w:r>
      <w:r w:rsidR="00CB0C34" w:rsidRPr="0002335B">
        <w:t xml:space="preserve"> </w:t>
      </w:r>
      <w:r w:rsidR="002C3EDC">
        <w:t xml:space="preserve">there are so-called </w:t>
      </w:r>
      <w:r w:rsidR="00CB0C34" w:rsidRPr="0002335B">
        <w:t>con</w:t>
      </w:r>
      <w:r>
        <w:t>s</w:t>
      </w:r>
      <w:r w:rsidR="00CB0C34" w:rsidRPr="0002335B">
        <w:t>ensus rules.  With a traditional database, a central authority is charged with making sure the database is not retroactively modified to reallocate ownership of items.  If the centralized authority is untrustworthy, e.g., if it is also a participant in transactions recorded on the database or it might accept side payments from participants to modify the database, then the database’s credibility is compromised.</w:t>
      </w:r>
      <w:r w:rsidR="00AA145C">
        <w:rPr>
          <w:rStyle w:val="FootnoteReference"/>
        </w:rPr>
        <w:footnoteReference w:id="101"/>
      </w:r>
      <w:r w:rsidR="00CB0C34" w:rsidRPr="0002335B">
        <w:t xml:space="preserve">  With a blockchain database, there need not be any central administrator of the database.  Anyone can contribute an</w:t>
      </w:r>
      <w:r>
        <w:t xml:space="preserve"> entry.  But what stops anyone</w:t>
      </w:r>
      <w:r w:rsidR="00CB0C34" w:rsidRPr="0002335B">
        <w:t xml:space="preserve"> from </w:t>
      </w:r>
      <w:r>
        <w:t xml:space="preserve">also </w:t>
      </w:r>
      <w:r w:rsidR="00CB0C34" w:rsidRPr="0002335B">
        <w:t>modifying old transactions (perhaps to benefit themselves</w:t>
      </w:r>
      <w:r>
        <w:t xml:space="preserve"> or harm competitors</w:t>
      </w:r>
      <w:r w:rsidR="00CB0C34" w:rsidRPr="0002335B">
        <w:t>)?  Each blockchain network has a consensus rule that determines when a database can be updated and therefore also retroactively modified.</w:t>
      </w:r>
      <w:r w:rsidR="00AA145C">
        <w:rPr>
          <w:rStyle w:val="FootnoteReference"/>
        </w:rPr>
        <w:footnoteReference w:id="102"/>
      </w:r>
      <w:r w:rsidR="00CB0C34" w:rsidRPr="0002335B">
        <w:t xml:space="preserve">  </w:t>
      </w:r>
    </w:p>
    <w:p w14:paraId="302DCE70" w14:textId="41AC7B40" w:rsidR="00CB0C34" w:rsidRPr="0002335B" w:rsidRDefault="00CB0C34" w:rsidP="00CB0C34">
      <w:r w:rsidRPr="0002335B">
        <w:t xml:space="preserve">The most common consensus rule is proof-of-work validation, </w:t>
      </w:r>
      <w:r w:rsidR="00AA145C">
        <w:t>in which nodes compete to be the first to hash an announced transaction and the winner is the first to add the transaction to the blockchain</w:t>
      </w:r>
      <w:r w:rsidRPr="0002335B">
        <w:t>.</w:t>
      </w:r>
      <w:r w:rsidR="00AA145C">
        <w:rPr>
          <w:rStyle w:val="FootnoteReference"/>
        </w:rPr>
        <w:footnoteReference w:id="103"/>
      </w:r>
      <w:r w:rsidRPr="0002335B">
        <w:t xml:space="preserve">  This method requires a node to deploy CPU time (i.e., electricity and a CPU) to perform hash functions and thereby validate transactions.  To change a past transaction, a node has to employ enough CPU time to modify an old transaction and revalidate all other transactions, including new transactions that are occurring in the interim.  This requires a lot </w:t>
      </w:r>
      <w:r w:rsidR="00DC15FD">
        <w:t xml:space="preserve">more CPU time; indeed, </w:t>
      </w:r>
      <w:proofErr w:type="spellStart"/>
      <w:r w:rsidR="00DC15FD">
        <w:t>Nakamoto</w:t>
      </w:r>
      <w:proofErr w:type="spellEnd"/>
      <w:r w:rsidRPr="0002335B">
        <w:t xml:space="preserve"> showed that it requires that no one node controls a majority of all CPU power on the blockchain network.</w:t>
      </w:r>
      <w:r w:rsidR="00DC15FD">
        <w:rPr>
          <w:rStyle w:val="FootnoteReference"/>
        </w:rPr>
        <w:footnoteReference w:id="104"/>
      </w:r>
      <w:r w:rsidRPr="0002335B">
        <w:t xml:space="preserve">   </w:t>
      </w:r>
    </w:p>
    <w:p w14:paraId="68557CA5" w14:textId="16E37213" w:rsidR="00CB0C34" w:rsidRPr="0002335B" w:rsidRDefault="00CB0C34" w:rsidP="00CB0C34">
      <w:r w:rsidRPr="0002335B">
        <w:t>Although proof-of-work makes retroactive modification of the blockchain hard, it also makes validation of new transactions hard.  By hard we mean it consumes a lot of electricity.</w:t>
      </w:r>
      <w:r w:rsidR="00D91DA7">
        <w:rPr>
          <w:rStyle w:val="FootnoteReference"/>
        </w:rPr>
        <w:footnoteReference w:id="105"/>
      </w:r>
      <w:r w:rsidRPr="0002335B">
        <w:t xml:space="preserve">  </w:t>
      </w:r>
      <w:r w:rsidR="00DC15FD">
        <w:t xml:space="preserve">An important </w:t>
      </w:r>
      <w:r w:rsidRPr="0002335B">
        <w:t xml:space="preserve">alternative method being explored is proof-of-stake.  Under proof-of-stake, transactions are validated by </w:t>
      </w:r>
      <w:r w:rsidR="00D91DA7">
        <w:t>betting that they are correct</w:t>
      </w:r>
      <w:r w:rsidR="00DC15FD">
        <w:t xml:space="preserve">.  </w:t>
      </w:r>
      <w:r w:rsidR="00D91DA7">
        <w:t xml:space="preserve">Nodes put up money that the transaction they state occurred actually occurred.  If </w:t>
      </w:r>
      <w:r w:rsidR="00D91DA7">
        <w:lastRenderedPageBreak/>
        <w:t>others put up more money that the transaction did not occur, then the node betting on the transaction loses the money that the transaction occurred.</w:t>
      </w:r>
      <w:r w:rsidR="00D91DA7">
        <w:rPr>
          <w:rStyle w:val="FootnoteReference"/>
        </w:rPr>
        <w:footnoteReference w:id="106"/>
      </w:r>
      <w:r w:rsidR="00D91DA7">
        <w:t xml:space="preserve">  Other alternatives include other methods of voting for which transaction actually occurred, with the alternatives being differentiated by t</w:t>
      </w:r>
      <w:r w:rsidR="00DC15FD">
        <w:t>he weight that each node’s vote has</w:t>
      </w:r>
      <w:r w:rsidRPr="0002335B">
        <w:t>.</w:t>
      </w:r>
      <w:r w:rsidRPr="0002335B">
        <w:rPr>
          <w:rStyle w:val="FootnoteReference"/>
        </w:rPr>
        <w:footnoteReference w:id="107"/>
      </w:r>
      <w:r w:rsidRPr="0002335B">
        <w:t xml:space="preserve">  </w:t>
      </w:r>
      <w:r w:rsidR="00D91DA7">
        <w:t xml:space="preserve">With alternatives to proof-of-work, </w:t>
      </w:r>
      <w:r w:rsidRPr="0002335B">
        <w:t xml:space="preserve">the manner in which </w:t>
      </w:r>
      <w:r w:rsidR="00D91DA7">
        <w:t xml:space="preserve">transactions are validated </w:t>
      </w:r>
      <w:r w:rsidRPr="0002335B">
        <w:t xml:space="preserve">should be chosen so as to </w:t>
      </w:r>
      <w:r w:rsidR="0096451A">
        <w:t xml:space="preserve">balance the goal of </w:t>
      </w:r>
      <w:r w:rsidRPr="0002335B">
        <w:t>reduc</w:t>
      </w:r>
      <w:r w:rsidR="0096451A">
        <w:t>ing</w:t>
      </w:r>
      <w:r w:rsidRPr="0002335B">
        <w:t xml:space="preserve"> the cost of incentives to validate truthful transactions and </w:t>
      </w:r>
      <w:r w:rsidR="0096451A">
        <w:t xml:space="preserve">of increasing </w:t>
      </w:r>
      <w:r w:rsidRPr="0002335B">
        <w:t>the cost of incentives to retroactively modify past recorded transactions.</w:t>
      </w:r>
      <w:r w:rsidR="00D91DA7">
        <w:rPr>
          <w:rStyle w:val="FootnoteReference"/>
        </w:rPr>
        <w:footnoteReference w:id="108"/>
      </w:r>
      <w:r w:rsidRPr="0002335B">
        <w:t xml:space="preserve">  </w:t>
      </w:r>
    </w:p>
    <w:p w14:paraId="329BBD9A" w14:textId="77777777" w:rsidR="00696988" w:rsidRPr="0002335B" w:rsidRDefault="003776B7" w:rsidP="00696988">
      <w:pPr>
        <w:pStyle w:val="Heading3"/>
        <w:numPr>
          <w:ilvl w:val="0"/>
          <w:numId w:val="10"/>
        </w:numPr>
      </w:pPr>
      <w:r>
        <w:t>Anonymity and p</w:t>
      </w:r>
      <w:r w:rsidR="00696988" w:rsidRPr="0002335B">
        <w:t>rivacy on</w:t>
      </w:r>
      <w:r w:rsidR="0096451A">
        <w:t xml:space="preserve"> the</w:t>
      </w:r>
      <w:r w:rsidR="00696988" w:rsidRPr="0002335B">
        <w:t xml:space="preserve"> blockchain</w:t>
      </w:r>
    </w:p>
    <w:p w14:paraId="1BC599DC" w14:textId="0CF828BD" w:rsidR="00696988" w:rsidRPr="0002335B" w:rsidRDefault="003776B7" w:rsidP="00696988">
      <w:r>
        <w:t>Another feature that makes blockchain attractive to some</w:t>
      </w:r>
      <w:r>
        <w:rPr>
          <w:rStyle w:val="FootnoteReference"/>
        </w:rPr>
        <w:footnoteReference w:id="109"/>
      </w:r>
      <w:r>
        <w:t xml:space="preserve"> is that </w:t>
      </w:r>
      <w:r w:rsidR="00FA620F">
        <w:t>b</w:t>
      </w:r>
      <w:r w:rsidR="00696988" w:rsidRPr="0002335B">
        <w:t xml:space="preserve">lockchain can preserve anonymity or </w:t>
      </w:r>
      <w:r w:rsidR="0096451A">
        <w:t xml:space="preserve">promote </w:t>
      </w:r>
      <w:r w:rsidR="00696988" w:rsidRPr="0002335B">
        <w:t>privacy.  This is done in either of two ways.  One is by disassociating accounts with personal identities on the blockchain database.  For example, people may just have public identification numbers, also called public keys, and those keys are not associated with names, addresses or other identification numbers easily connected to names or addresses.</w:t>
      </w:r>
      <w:r w:rsidR="00D91DA7">
        <w:rPr>
          <w:rStyle w:val="FootnoteReference"/>
        </w:rPr>
        <w:footnoteReference w:id="110"/>
      </w:r>
      <w:r w:rsidR="00696988" w:rsidRPr="0002335B">
        <w:t xml:space="preserve">  It should be noted, however, that various governments have imposed know-your-customer (KYC) rules on exchanges that facilitate transactions on </w:t>
      </w:r>
      <w:proofErr w:type="spellStart"/>
      <w:r w:rsidR="00696988" w:rsidRPr="0002335B">
        <w:t>blockchains</w:t>
      </w:r>
      <w:proofErr w:type="spellEnd"/>
      <w:r w:rsidR="00696988" w:rsidRPr="0002335B">
        <w:t xml:space="preserve"> and these can make it harder to maintain anonymity on the blockchain.</w:t>
      </w:r>
      <w:r w:rsidR="00D91DA7">
        <w:rPr>
          <w:rStyle w:val="FootnoteReference"/>
        </w:rPr>
        <w:footnoteReference w:id="111"/>
      </w:r>
      <w:r w:rsidR="00696988" w:rsidRPr="0002335B">
        <w:t xml:space="preserve">  A second way to ensure privacy is to create and maintain a private blockchain that is only accessible to a small number of participants or that can only be searched by a centralized intermediary, who can validate whether counterparties have certain assets or not.</w:t>
      </w:r>
      <w:bookmarkStart w:id="42" w:name="_Ref494707283"/>
      <w:r w:rsidR="00D91DA7">
        <w:rPr>
          <w:rStyle w:val="FootnoteReference"/>
        </w:rPr>
        <w:footnoteReference w:id="112"/>
      </w:r>
      <w:bookmarkEnd w:id="42"/>
      <w:r w:rsidR="00696988" w:rsidRPr="0002335B">
        <w:t xml:space="preserve">  </w:t>
      </w:r>
    </w:p>
    <w:p w14:paraId="06AC4965" w14:textId="77777777" w:rsidR="00696988" w:rsidRDefault="00696988" w:rsidP="00696988">
      <w:r w:rsidRPr="0002335B">
        <w:t>Both methods of limiting public knowledge of transactions</w:t>
      </w:r>
      <w:r w:rsidR="00FA620F">
        <w:t>,</w:t>
      </w:r>
      <w:r w:rsidRPr="0002335B">
        <w:t xml:space="preserve"> unsurprisingly</w:t>
      </w:r>
      <w:r w:rsidR="00FA620F">
        <w:t>,</w:t>
      </w:r>
      <w:r w:rsidRPr="0002335B">
        <w:t xml:space="preserve"> limit the economies of scale from blockchain.  As a result, blockchain networks must balance the returns to scale with the value of privacy when choosing how they will be constructed.  </w:t>
      </w:r>
    </w:p>
    <w:p w14:paraId="34A74DBF" w14:textId="77777777" w:rsidR="005007AA" w:rsidRDefault="005007AA" w:rsidP="00696988"/>
    <w:p w14:paraId="1A884B36" w14:textId="77777777" w:rsidR="003776B7" w:rsidRDefault="003776B7" w:rsidP="00155C53">
      <w:pPr>
        <w:pStyle w:val="Heading2"/>
        <w:numPr>
          <w:ilvl w:val="0"/>
          <w:numId w:val="9"/>
        </w:numPr>
      </w:pPr>
      <w:bookmarkStart w:id="43" w:name="_Toc508877638"/>
      <w:r>
        <w:t>The value of smart contracts</w:t>
      </w:r>
      <w:bookmarkEnd w:id="43"/>
    </w:p>
    <w:p w14:paraId="79BA0DD6" w14:textId="4AAEF472" w:rsidR="003776B7" w:rsidRPr="00481E8C" w:rsidRDefault="003776B7" w:rsidP="003776B7">
      <w:r w:rsidRPr="00481E8C">
        <w:lastRenderedPageBreak/>
        <w:t>So-called smart contracts, as first conceived by Nick Szabo,</w:t>
      </w:r>
      <w:r w:rsidRPr="00481E8C">
        <w:rPr>
          <w:rStyle w:val="FootnoteReference"/>
        </w:rPr>
        <w:footnoteReference w:id="113"/>
      </w:r>
      <w:r w:rsidRPr="00481E8C">
        <w:t xml:space="preserve"> are a quite general concept: a smart contract is a simply series of actions written in computer script.</w:t>
      </w:r>
      <w:r w:rsidR="00545B1C">
        <w:rPr>
          <w:rStyle w:val="FootnoteReference"/>
        </w:rPr>
        <w:footnoteReference w:id="114"/>
      </w:r>
      <w:r w:rsidRPr="00481E8C">
        <w:t xml:space="preserve">  When the actions constitute fulfillment of mutual, conditional promises, they are a contract in the traditional sense.</w:t>
      </w:r>
      <w:r w:rsidRPr="00481E8C">
        <w:rPr>
          <w:rStyle w:val="FootnoteReference"/>
        </w:rPr>
        <w:footnoteReference w:id="115"/>
      </w:r>
      <w:r w:rsidRPr="00481E8C">
        <w:t xml:space="preserve"> Smart contracts can fully or partially specify a contract, meaning they can include all promises made pursuant to a contract or they can contain part of the promises, in which case the code plus a paper agreement constitute the whole contract.</w:t>
      </w:r>
      <w:bookmarkStart w:id="44" w:name="_Ref494701762"/>
      <w:r w:rsidR="00951BF5">
        <w:rPr>
          <w:rStyle w:val="FootnoteReference"/>
        </w:rPr>
        <w:footnoteReference w:id="116"/>
      </w:r>
      <w:bookmarkEnd w:id="44"/>
      <w:r w:rsidRPr="00481E8C">
        <w:t xml:space="preserve">  </w:t>
      </w:r>
    </w:p>
    <w:p w14:paraId="71B1C5EC" w14:textId="50569E17" w:rsidR="003776B7" w:rsidRPr="00481E8C" w:rsidRDefault="003776B7" w:rsidP="003776B7">
      <w:r w:rsidRPr="00481E8C">
        <w:t xml:space="preserve">Smart contracts can exist independent of a blockchain network, but they can also be announced, witnessed and automatically executed on such a network.  Indeed, the reason </w:t>
      </w:r>
      <w:proofErr w:type="spellStart"/>
      <w:r w:rsidRPr="00481E8C">
        <w:t>Vitalik</w:t>
      </w:r>
      <w:proofErr w:type="spellEnd"/>
      <w:r w:rsidRPr="00481E8C">
        <w:t xml:space="preserve"> </w:t>
      </w:r>
      <w:proofErr w:type="spellStart"/>
      <w:r w:rsidRPr="00481E8C">
        <w:t>Buterin</w:t>
      </w:r>
      <w:proofErr w:type="spellEnd"/>
      <w:r w:rsidRPr="00481E8C">
        <w:t xml:space="preserve"> created the </w:t>
      </w:r>
      <w:proofErr w:type="spellStart"/>
      <w:r w:rsidRPr="00481E8C">
        <w:t>Ethereum</w:t>
      </w:r>
      <w:proofErr w:type="spellEnd"/>
      <w:r w:rsidRPr="00481E8C">
        <w:t xml:space="preserve"> network was that the Bitcoin network did not support smart contracts.  </w:t>
      </w:r>
      <w:proofErr w:type="spellStart"/>
      <w:r w:rsidRPr="00481E8C">
        <w:t>Ethereum</w:t>
      </w:r>
      <w:proofErr w:type="spellEnd"/>
      <w:r w:rsidRPr="00481E8C">
        <w:t xml:space="preserve"> is a blockchain network but with a scripting language that allows smart contracts.  Individuals write their smart contracts in that script and the </w:t>
      </w:r>
      <w:proofErr w:type="spellStart"/>
      <w:r w:rsidRPr="00481E8C">
        <w:t>Ethereum</w:t>
      </w:r>
      <w:proofErr w:type="spellEnd"/>
      <w:r w:rsidRPr="00481E8C">
        <w:t xml:space="preserve"> network validates and executes it.</w:t>
      </w:r>
      <w:r w:rsidR="00545B1C" w:rsidRPr="00481E8C">
        <w:rPr>
          <w:rStyle w:val="FootnoteReference"/>
        </w:rPr>
        <w:footnoteReference w:id="117"/>
      </w:r>
      <w:r w:rsidRPr="00481E8C">
        <w:t xml:space="preserve">  </w:t>
      </w:r>
    </w:p>
    <w:p w14:paraId="4C02E040" w14:textId="77777777" w:rsidR="003776B7" w:rsidRDefault="003776B7" w:rsidP="003776B7">
      <w:pPr>
        <w:pStyle w:val="Heading3"/>
        <w:numPr>
          <w:ilvl w:val="0"/>
          <w:numId w:val="14"/>
        </w:numPr>
      </w:pPr>
      <w:r>
        <w:t xml:space="preserve">Benefits that smart contracts do </w:t>
      </w:r>
      <w:r w:rsidRPr="003776B7">
        <w:rPr>
          <w:u w:val="single"/>
        </w:rPr>
        <w:t>not</w:t>
      </w:r>
      <w:r>
        <w:t xml:space="preserve"> offer</w:t>
      </w:r>
    </w:p>
    <w:p w14:paraId="2561D849" w14:textId="1CAD20D8" w:rsidR="003776B7" w:rsidRDefault="003776B7" w:rsidP="003776B7">
      <w:r w:rsidRPr="00481E8C">
        <w:t xml:space="preserve">What makes smart contracts special is not that they are automated.  One can already automate transactions.  Take the case where A rents and apartment to B for $600/month.  With a smart contract, simply by signing the contract B would automate the process of paying A because her account on the blockchain network would be deducted $600 per month.  But B could have done that before smart contracts.  For example, she could have signed a paper rental agreement and then set up a standing order at her bank to send </w:t>
      </w:r>
      <w:proofErr w:type="spellStart"/>
      <w:r w:rsidRPr="00481E8C">
        <w:t>A</w:t>
      </w:r>
      <w:proofErr w:type="spellEnd"/>
      <w:r w:rsidRPr="00481E8C">
        <w:t xml:space="preserve"> an e-check for $600 each month.</w:t>
      </w:r>
      <w:bookmarkStart w:id="45" w:name="_Ref494700808"/>
      <w:r w:rsidR="00545B1C">
        <w:rPr>
          <w:rStyle w:val="FootnoteReference"/>
        </w:rPr>
        <w:footnoteReference w:id="118"/>
      </w:r>
      <w:bookmarkEnd w:id="45"/>
      <w:r w:rsidRPr="00481E8C">
        <w:t xml:space="preserve">  </w:t>
      </w:r>
    </w:p>
    <w:p w14:paraId="35B3249D" w14:textId="640040DD" w:rsidR="003776B7" w:rsidRPr="00481E8C" w:rsidRDefault="003776B7" w:rsidP="003776B7">
      <w:r w:rsidRPr="00481E8C">
        <w:t>Of course</w:t>
      </w:r>
      <w:r w:rsidR="00DA0BED">
        <w:t>,</w:t>
      </w:r>
      <w:r w:rsidRPr="00481E8C">
        <w:t xml:space="preserve"> there are fewer steps with a smart contract, which could reduce transactions costs with contract execution.  Writing and digitally signing a smart contract script could, in theory, eliminate the need to take extra steps to automate the process.</w:t>
      </w:r>
      <w:r w:rsidR="00951BF5">
        <w:rPr>
          <w:rStyle w:val="FootnoteReference"/>
        </w:rPr>
        <w:footnoteReference w:id="119"/>
      </w:r>
      <w:r w:rsidRPr="00481E8C">
        <w:t xml:space="preserve">  </w:t>
      </w:r>
    </w:p>
    <w:p w14:paraId="34906870" w14:textId="5D45EBEC" w:rsidR="003776B7" w:rsidRPr="00481E8C" w:rsidRDefault="003776B7" w:rsidP="003776B7">
      <w:r w:rsidRPr="00481E8C">
        <w:t xml:space="preserve">But this benefit is offset by the fact that automation via smart contract requires the smart contract to be on a network that controls enough of A and B’s assets to be able to be completely self-executing on that network.  For example, if B writes her smart contract on the </w:t>
      </w:r>
      <w:proofErr w:type="spellStart"/>
      <w:r w:rsidRPr="00481E8C">
        <w:t>Ethereum</w:t>
      </w:r>
      <w:proofErr w:type="spellEnd"/>
      <w:r w:rsidRPr="00481E8C">
        <w:t xml:space="preserve"> network but does not have her </w:t>
      </w:r>
      <w:r w:rsidRPr="00481E8C">
        <w:lastRenderedPageBreak/>
        <w:t xml:space="preserve">wealth in an </w:t>
      </w:r>
      <w:proofErr w:type="spellStart"/>
      <w:r w:rsidRPr="00481E8C">
        <w:t>Ethereum</w:t>
      </w:r>
      <w:proofErr w:type="spellEnd"/>
      <w:r w:rsidRPr="00481E8C">
        <w:t xml:space="preserve"> network account, then she would have to transfer money to an </w:t>
      </w:r>
      <w:proofErr w:type="spellStart"/>
      <w:r w:rsidRPr="00481E8C">
        <w:t>Ethereum</w:t>
      </w:r>
      <w:proofErr w:type="spellEnd"/>
      <w:r w:rsidRPr="00481E8C">
        <w:t xml:space="preserve"> account to empower </w:t>
      </w:r>
      <w:proofErr w:type="spellStart"/>
      <w:r w:rsidRPr="00481E8C">
        <w:t>Ethereum</w:t>
      </w:r>
      <w:proofErr w:type="spellEnd"/>
      <w:r w:rsidRPr="00481E8C">
        <w:t xml:space="preserve"> to direct it according to the contract.  If all B did was to allow </w:t>
      </w:r>
      <w:r w:rsidR="00DA0BED">
        <w:t xml:space="preserve">an </w:t>
      </w:r>
      <w:proofErr w:type="spellStart"/>
      <w:r w:rsidRPr="00481E8C">
        <w:t>Ethereum</w:t>
      </w:r>
      <w:proofErr w:type="spellEnd"/>
      <w:r w:rsidRPr="00481E8C">
        <w:t xml:space="preserve"> network to check her regular bank account, the smart contract could not execute her contract.</w:t>
      </w:r>
    </w:p>
    <w:p w14:paraId="23035C84" w14:textId="4DE5CB7C" w:rsidR="003776B7" w:rsidRPr="00481E8C" w:rsidRDefault="003776B7" w:rsidP="003776B7">
      <w:r w:rsidRPr="00481E8C">
        <w:t>Nor do smart contracts obviously reduce transactions costs during contract drafting.  Traditional contracts require the parties and/or a lawyer to draft a contract.  But smart contracts require the parties and/or a hired programmer to script those contracts.  Services like Legal Zoom can help with form contracts, but form contracts can be used to economize with traditional paper contracts as well as script contracts.</w:t>
      </w:r>
      <w:r w:rsidR="00545B1C">
        <w:rPr>
          <w:rStyle w:val="FootnoteReference"/>
        </w:rPr>
        <w:footnoteReference w:id="120"/>
      </w:r>
    </w:p>
    <w:p w14:paraId="530106E6" w14:textId="77777777" w:rsidR="003776B7" w:rsidRDefault="003776B7" w:rsidP="003776B7">
      <w:r>
        <w:t>So</w:t>
      </w:r>
      <w:r w:rsidR="00DA0BED">
        <w:t>,</w:t>
      </w:r>
      <w:r>
        <w:t xml:space="preserve"> what are the benefits of smart contracts over ordinary contracts?  </w:t>
      </w:r>
    </w:p>
    <w:p w14:paraId="69728250" w14:textId="77777777" w:rsidR="003776B7" w:rsidRPr="00C06E2B" w:rsidRDefault="003776B7" w:rsidP="003776B7">
      <w:pPr>
        <w:pStyle w:val="Heading3"/>
        <w:numPr>
          <w:ilvl w:val="0"/>
          <w:numId w:val="14"/>
        </w:numPr>
      </w:pPr>
      <w:r w:rsidRPr="00C06E2B">
        <w:t xml:space="preserve">Smart contracts </w:t>
      </w:r>
      <w:r>
        <w:t>reduce uncertainty about promises (counterparty risk)</w:t>
      </w:r>
    </w:p>
    <w:p w14:paraId="68FE3251" w14:textId="77777777" w:rsidR="003776B7" w:rsidRPr="00481E8C" w:rsidRDefault="003776B7" w:rsidP="003776B7">
      <w:r w:rsidRPr="00481E8C">
        <w:t>A smart contract, by virtue of being a plan for the future and being automated, gives counterparties confidence that promises will be fulfilled.  Take our rental example.  Even if B sets up an automatic payment for $600/month to A with her bank, there is a risk that the payment will not be made.  To see why, suppose B only has $600 in her account on September 29 and rent is due October 1.  If B decides to have dinner out on the 29</w:t>
      </w:r>
      <w:r w:rsidRPr="00481E8C">
        <w:rPr>
          <w:vertAlign w:val="superscript"/>
        </w:rPr>
        <w:t>th</w:t>
      </w:r>
      <w:r w:rsidRPr="00481E8C">
        <w:t xml:space="preserve"> that costs $25, her bank will not be able to transfer $600 on the 1</w:t>
      </w:r>
      <w:r w:rsidRPr="00481E8C">
        <w:rPr>
          <w:vertAlign w:val="superscript"/>
        </w:rPr>
        <w:t>st</w:t>
      </w:r>
      <w:r w:rsidRPr="00481E8C">
        <w:t>.  She will be $25 short.  By contrast, a smart contract can be written so that her account encumbers the $600 even before the 1</w:t>
      </w:r>
      <w:r w:rsidRPr="00481E8C">
        <w:rPr>
          <w:vertAlign w:val="superscript"/>
        </w:rPr>
        <w:t>st</w:t>
      </w:r>
      <w:r w:rsidRPr="00481E8C">
        <w:t xml:space="preserve"> due so that B cannot spend $25 on dinner on the 29</w:t>
      </w:r>
      <w:r w:rsidRPr="00481E8C">
        <w:rPr>
          <w:vertAlign w:val="superscript"/>
        </w:rPr>
        <w:t>th</w:t>
      </w:r>
      <w:r w:rsidRPr="00481E8C">
        <w:t xml:space="preserve"> if she only has $600 in her account that day.</w:t>
      </w:r>
      <w:r w:rsidRPr="00481E8C">
        <w:rPr>
          <w:rStyle w:val="FootnoteReference"/>
        </w:rPr>
        <w:footnoteReference w:id="121"/>
      </w:r>
      <w:r w:rsidRPr="00481E8C">
        <w:t xml:space="preserve">  </w:t>
      </w:r>
    </w:p>
    <w:p w14:paraId="7ADD45E8" w14:textId="1EC7E46B" w:rsidR="003776B7" w:rsidRPr="00481E8C" w:rsidRDefault="003776B7" w:rsidP="003776B7">
      <w:r w:rsidRPr="00481E8C">
        <w:t xml:space="preserve">An inexact analogy to the smart contract counterparty is a secured creditor.  A secured creditor knows that, even if the debtor cannot pay her debts even after litigation or bankruptcy, the creditor can seize their collateral, e.g., a home that secures a mortgage.  By contrast an unsecured creditor whose debtor cannot pay even after litigation or bankruptcy </w:t>
      </w:r>
      <w:r w:rsidR="00AD018B">
        <w:t xml:space="preserve">may get </w:t>
      </w:r>
      <w:r w:rsidRPr="00481E8C">
        <w:t xml:space="preserve">nothing.  A smart contract payee can be sure that her counterparty will not otherwise spend or encumber the money that she expects to be paid under the smart contract.  By contrast an ordinary contract payee faces the risk that her counterparty will not have the money to pay her, leaving her with the same recourse as the unsecured creditor.  Of course, the ordinary contract payee can try to obtain a security interest, but that just means that smart contracts and security interests are substitutes, underlining our point that the two are roughly analogous.  </w:t>
      </w:r>
    </w:p>
    <w:p w14:paraId="15CFD87C" w14:textId="77777777" w:rsidR="003776B7" w:rsidRPr="00481E8C" w:rsidRDefault="003776B7" w:rsidP="003776B7">
      <w:pPr>
        <w:rPr>
          <w:rFonts w:eastAsiaTheme="minorEastAsia"/>
        </w:rPr>
      </w:pPr>
      <w:r w:rsidRPr="00481E8C">
        <w:t>When combined with an open database of transactions, such as that maintained by a blockchain network, smart contracts can disproportionately reduce counterparty risk in the economy.  To illustrate, let us complicate the rental example by allowing that B must earn income each month to pay rent.  Specifically, on the 1</w:t>
      </w:r>
      <w:r w:rsidRPr="00481E8C">
        <w:rPr>
          <w:vertAlign w:val="superscript"/>
        </w:rPr>
        <w:t>st</w:t>
      </w:r>
      <w:r w:rsidRPr="00481E8C">
        <w:t xml:space="preserve"> of the month B’s account, which had $600 falls to $0, but B expects to get a bi-weekly paycheck of $1000 (net of taxes). </w:t>
      </w:r>
      <w:r w:rsidRPr="00481E8C">
        <w:rPr>
          <w:rFonts w:eastAsiaTheme="minorEastAsia"/>
        </w:rPr>
        <w:t xml:space="preserve"> To address the risk that B’s bi-weekly paycheck may not arrive, e.g., because she is demoted or she takes unpaid leave, the smart contact could include an algorithm that predicts income and</w:t>
      </w:r>
      <w:r w:rsidR="000F79FC">
        <w:rPr>
          <w:rFonts w:eastAsiaTheme="minorEastAsia"/>
        </w:rPr>
        <w:t>,</w:t>
      </w:r>
      <w:r w:rsidRPr="00481E8C">
        <w:rPr>
          <w:rFonts w:eastAsiaTheme="minorEastAsia"/>
        </w:rPr>
        <w:t xml:space="preserve"> on that basis</w:t>
      </w:r>
      <w:r w:rsidR="000F79FC">
        <w:rPr>
          <w:rFonts w:eastAsiaTheme="minorEastAsia"/>
        </w:rPr>
        <w:t>,</w:t>
      </w:r>
      <w:r w:rsidRPr="00481E8C">
        <w:rPr>
          <w:rFonts w:eastAsiaTheme="minorEastAsia"/>
        </w:rPr>
        <w:t xml:space="preserve"> encumbers the account to protect rent payments.  When income is more uncertain, the encumbrance should be larger to ensure a given level of confidence, say </w:t>
      </w:r>
      <w:r w:rsidRPr="00481E8C">
        <w:rPr>
          <w:rFonts w:eastAsiaTheme="minorEastAsia"/>
        </w:rPr>
        <w:lastRenderedPageBreak/>
        <w:t xml:space="preserve">95%, that rent payments would be made on time.  Indeed, the rental contract price itself could – and from A’s perspective should – be a function of how predictable B’s income is.  This means that, if B’s employer also signed a smart contract, her income would also become more secure and she would have to pay A less for rent!  In this manner, the more </w:t>
      </w:r>
      <w:r w:rsidR="000F79FC">
        <w:rPr>
          <w:rFonts w:eastAsiaTheme="minorEastAsia"/>
        </w:rPr>
        <w:t xml:space="preserve">that </w:t>
      </w:r>
      <w:r w:rsidRPr="00481E8C">
        <w:rPr>
          <w:rFonts w:eastAsiaTheme="minorEastAsia"/>
        </w:rPr>
        <w:t xml:space="preserve">smart contracts spread the less uncertainty counterparty risk there is and the less insurance – in the form of higher prices – needs to be purchased against that risk.  The money freed up by lower insurance payments could be spent on investment, which should increase growth.  </w:t>
      </w:r>
    </w:p>
    <w:p w14:paraId="61B0C29E" w14:textId="77777777" w:rsidR="003776B7" w:rsidRPr="00B35396" w:rsidRDefault="003776B7" w:rsidP="003776B7">
      <w:pPr>
        <w:pStyle w:val="Heading3"/>
        <w:numPr>
          <w:ilvl w:val="0"/>
          <w:numId w:val="14"/>
        </w:numPr>
      </w:pPr>
      <w:r w:rsidRPr="00B35396">
        <w:t>Smart contracts reduce uncertainty about interpretation</w:t>
      </w:r>
      <w:r>
        <w:t xml:space="preserve"> (legal risk)</w:t>
      </w:r>
    </w:p>
    <w:p w14:paraId="552722BB" w14:textId="12E2EB69" w:rsidR="003776B7" w:rsidRDefault="003776B7" w:rsidP="003776B7">
      <w:r>
        <w:t>A second source of risk that smart contracts can address is interpretation risk.  When two parties write a traditional contract, there may be ambiguities in meaning.  Those ambiguities are subsequently resolved by a court or equivalent adjudicator.  But from an ex ante perspective, that resolution is still risky.</w:t>
      </w:r>
      <w:r w:rsidR="00951BF5">
        <w:rPr>
          <w:rStyle w:val="FootnoteReference"/>
        </w:rPr>
        <w:footnoteReference w:id="122"/>
      </w:r>
      <w:r>
        <w:t xml:space="preserve">  </w:t>
      </w:r>
    </w:p>
    <w:p w14:paraId="596C3906" w14:textId="77777777" w:rsidR="003776B7" w:rsidRDefault="003776B7" w:rsidP="003776B7">
      <w:r>
        <w:t xml:space="preserve">We can illustrate with a simple example.  Suppose that A and B write a paper contract on Monday that says </w:t>
      </w:r>
    </w:p>
    <w:p w14:paraId="27D473E6" w14:textId="77777777" w:rsidR="003776B7" w:rsidRPr="006E3D2C" w:rsidRDefault="003776B7" w:rsidP="003776B7">
      <w:pPr>
        <w:pStyle w:val="Quote"/>
      </w:pPr>
      <w:r w:rsidRPr="006E3D2C">
        <w:t xml:space="preserve">A will supply B a widget on Friday.  B will pay $100 upon delivery of the widget.  If A does not perform, </w:t>
      </w:r>
      <w:proofErr w:type="gramStart"/>
      <w:r w:rsidRPr="006E3D2C">
        <w:t>A</w:t>
      </w:r>
      <w:proofErr w:type="gramEnd"/>
      <w:r w:rsidRPr="006E3D2C">
        <w:t xml:space="preserve"> owes B $150.  </w:t>
      </w:r>
    </w:p>
    <w:p w14:paraId="1C6EF46E" w14:textId="77777777" w:rsidR="003776B7" w:rsidRDefault="003776B7" w:rsidP="003776B7">
      <w:r>
        <w:t xml:space="preserve">Suppose further that on Tuesday a hurricane strikes, destroying A’s factory and inventory, so that he cannot perform on the smart contract.  If B sues A in state court for liquidated damages, a court could decide in at least two ways.  First, the court could say the contract has an implied force majeure clause, perhaps because that is what the parties would have agreed to if they had considered the possibility of a hurricane white writing their contract, and so A did not breach and owes B nothing.  Second, the court could say the four corners of the contract includes no force majeure clause, so A did breach and owes B $150.  </w:t>
      </w:r>
    </w:p>
    <w:p w14:paraId="67A3EA70" w14:textId="70100F32" w:rsidR="003776B7" w:rsidRDefault="003776B7" w:rsidP="003776B7">
      <w:r>
        <w:t xml:space="preserve">When writing the contract, each party formed </w:t>
      </w:r>
      <w:r w:rsidR="00E75A9F">
        <w:t xml:space="preserve">an </w:t>
      </w:r>
      <w:r>
        <w:t xml:space="preserve">expectation about what a court would do, and </w:t>
      </w:r>
      <w:r w:rsidR="00E75A9F">
        <w:t>accounted for</w:t>
      </w:r>
      <w:r>
        <w:t xml:space="preserve"> that expectation in the price upon which they agreed.  If one of the parties was risk averse, the price might have to reflect insurance provided to that party to insure it against the risk from court interpretation (not just the risk of a hurricane).  If the parties disagreed on what would happen, they might not agree on a price</w:t>
      </w:r>
      <w:r w:rsidR="00E75A9F">
        <w:t xml:space="preserve">.  </w:t>
      </w:r>
      <w:r w:rsidR="007A604D">
        <w:t>If, e.g.</w:t>
      </w:r>
      <w:r>
        <w:t>, A’s expectation about the cost of supplying a widget was greater than the B’s expectation about the probability of getting the widget times the value of the widget to be</w:t>
      </w:r>
      <w:r w:rsidR="007A604D">
        <w:t>, there would be no range for bargaining</w:t>
      </w:r>
      <w:r>
        <w:t>.  In short, if the parties were risk averse or if the parties disagreed about what a court would do, it would be more likely that the parties would not come to an agreement</w:t>
      </w:r>
      <w:r w:rsidR="007A604D">
        <w:t>.</w:t>
      </w:r>
      <w:r>
        <w:t xml:space="preserve">  </w:t>
      </w:r>
    </w:p>
    <w:p w14:paraId="1665B9A9" w14:textId="60B07CFD" w:rsidR="003776B7" w:rsidRDefault="003776B7" w:rsidP="003776B7">
      <w:r>
        <w:t xml:space="preserve">A smart contract can reduce the interpretation risk.  Because a computer interprets a script like a strictly </w:t>
      </w:r>
      <w:proofErr w:type="spellStart"/>
      <w:r>
        <w:t>textualist</w:t>
      </w:r>
      <w:proofErr w:type="spellEnd"/>
      <w:r>
        <w:t xml:space="preserve"> court would, i.e., it looks only at the four corners of the contract, the outcome may be more predictable than when a court’s interpretive methodology is uncertain.  In fact, it is possible to do even better than a strictly </w:t>
      </w:r>
      <w:proofErr w:type="spellStart"/>
      <w:r>
        <w:t>textualist</w:t>
      </w:r>
      <w:proofErr w:type="spellEnd"/>
      <w:r>
        <w:t xml:space="preserve"> court because it is possible to cheaply and quickly simulate and thus </w:t>
      </w:r>
      <w:r>
        <w:lastRenderedPageBreak/>
        <w:t>predict how a computer would execute a smart contract script under a wide array of parameter values for contract inputs.</w:t>
      </w:r>
      <w:r w:rsidR="005B3E65">
        <w:rPr>
          <w:rStyle w:val="FootnoteReference"/>
        </w:rPr>
        <w:footnoteReference w:id="123"/>
      </w:r>
      <w:r>
        <w:t xml:space="preserve">  </w:t>
      </w:r>
    </w:p>
    <w:p w14:paraId="57903C3E" w14:textId="77777777" w:rsidR="003776B7" w:rsidRDefault="003776B7" w:rsidP="003776B7">
      <w:r>
        <w:t xml:space="preserve">Anyone who has written code might object that code is very finicky, but this is a negligible cost.  For example, a misplaced semi-colon might cause the smart contract to not execute at all.  But one can </w:t>
      </w:r>
      <w:r w:rsidR="00F24C09">
        <w:t xml:space="preserve">test </w:t>
      </w:r>
      <w:r>
        <w:t xml:space="preserve">the contract </w:t>
      </w:r>
      <w:r w:rsidR="00F24C09">
        <w:t>in a sandbox</w:t>
      </w:r>
      <w:r w:rsidR="00F24C09">
        <w:rPr>
          <w:rStyle w:val="FootnoteReference"/>
        </w:rPr>
        <w:footnoteReference w:id="124"/>
      </w:r>
      <w:r w:rsidR="00F24C09">
        <w:t xml:space="preserve"> </w:t>
      </w:r>
      <w:r>
        <w:t xml:space="preserve">and see if it executes even before it is actually executed in a live environment.  </w:t>
      </w:r>
    </w:p>
    <w:p w14:paraId="53640B09" w14:textId="77777777" w:rsidR="003776B7" w:rsidRDefault="003776B7" w:rsidP="003776B7">
      <w:r>
        <w:t xml:space="preserve">A </w:t>
      </w:r>
      <w:r w:rsidR="000F79FC">
        <w:t xml:space="preserve">potentially </w:t>
      </w:r>
      <w:r>
        <w:t xml:space="preserve">stronger objection is that the parties might not intend what the four corners of the smart contract says, but even this is </w:t>
      </w:r>
      <w:r w:rsidR="000F79FC">
        <w:t>not compelling</w:t>
      </w:r>
      <w:r>
        <w:t xml:space="preserve">.  The parties can write a different script.  Alternatively, default rule code can be written that fills gaps in smart contracts and the parties can reference that default rule code when scripting their contract.  In other words, they can’t pick the interpretive methodology, but they can pick their default rules.  </w:t>
      </w:r>
    </w:p>
    <w:p w14:paraId="4008436B" w14:textId="0034AC0C" w:rsidR="003776B7" w:rsidRDefault="003776B7" w:rsidP="003776B7">
      <w:r>
        <w:t xml:space="preserve">The magnitude of the benefit from reducing interpretive </w:t>
      </w:r>
      <w:r w:rsidR="007A604D">
        <w:t>risk</w:t>
      </w:r>
      <w:r>
        <w:t xml:space="preserve">, like the magnitude of the benefit of reducing counterparty risk is uncertain.  While the former may be smaller than the latter, it could still be significant.  The </w:t>
      </w:r>
      <w:r w:rsidR="007A604D">
        <w:t>former</w:t>
      </w:r>
      <w:r>
        <w:t xml:space="preserve"> may be what drives contractual parties to agree to assign jurisdiction or arbitrate decisions or to move transactions within a firm.</w:t>
      </w:r>
      <w:r w:rsidR="00951BF5">
        <w:rPr>
          <w:rStyle w:val="FootnoteReference"/>
        </w:rPr>
        <w:footnoteReference w:id="125"/>
      </w:r>
      <w:r>
        <w:t xml:space="preserve">   Most consumer contracts have arbitration clauses and half of all trade occurs within firms.</w:t>
      </w:r>
      <w:r>
        <w:rPr>
          <w:rStyle w:val="FootnoteReference"/>
        </w:rPr>
        <w:footnoteReference w:id="126"/>
      </w:r>
      <w:r>
        <w:t xml:space="preserve">  Reduced interpretive and counterparty risks are not the only reason why the parties may use arbitration clauses </w:t>
      </w:r>
      <w:r w:rsidR="00053358">
        <w:t>or</w:t>
      </w:r>
      <w:r>
        <w:t xml:space="preserve"> prefer intrafirm transactions, but </w:t>
      </w:r>
      <w:r w:rsidR="00053358">
        <w:t xml:space="preserve">they are significant risks.  Indeed, </w:t>
      </w:r>
      <w:r>
        <w:t>counterparty risk is what spawned the creation of blockchain in the first place.</w:t>
      </w:r>
      <w:r w:rsidR="009816DC">
        <w:rPr>
          <w:rStyle w:val="FootnoteReference"/>
        </w:rPr>
        <w:footnoteReference w:id="127"/>
      </w:r>
      <w:r>
        <w:t xml:space="preserve"> </w:t>
      </w:r>
    </w:p>
    <w:p w14:paraId="180F2FF9" w14:textId="77777777" w:rsidR="00CB0C34" w:rsidRDefault="00CB0C34" w:rsidP="003927B5"/>
    <w:p w14:paraId="19B01D9B" w14:textId="68A63ABA" w:rsidR="009E100D" w:rsidRPr="009E100D" w:rsidRDefault="009E100D" w:rsidP="009E100D">
      <w:pPr>
        <w:pStyle w:val="Heading1"/>
        <w:numPr>
          <w:ilvl w:val="0"/>
          <w:numId w:val="3"/>
        </w:numPr>
      </w:pPr>
      <w:bookmarkStart w:id="46" w:name="_Ref494438608"/>
      <w:bookmarkStart w:id="47" w:name="_Toc508877639"/>
      <w:r w:rsidRPr="009E100D">
        <w:t>HOW SMART CONTRACT</w:t>
      </w:r>
      <w:r w:rsidR="00B50790">
        <w:t>S ON BLOCKCHAIN</w:t>
      </w:r>
      <w:r w:rsidRPr="009E100D">
        <w:t xml:space="preserve"> CAN HELP REDUCE CONTRACTUAL HOLD</w:t>
      </w:r>
      <w:r w:rsidR="00430DE4">
        <w:t>-</w:t>
      </w:r>
      <w:r w:rsidRPr="009E100D">
        <w:t>UP</w:t>
      </w:r>
      <w:bookmarkEnd w:id="46"/>
      <w:bookmarkEnd w:id="47"/>
    </w:p>
    <w:p w14:paraId="146C74FD" w14:textId="77777777" w:rsidR="009E100D" w:rsidRDefault="00503697" w:rsidP="003927B5">
      <w:r>
        <w:t xml:space="preserve">Our central claim is that smart contracts on blockchain networks allows parties to more credibly commit to original contracts (in case they want to prevent any renegotiation) or to mechanisms to structure renegotiation or make information verifiable to courts (in case they want specifically to stop hold-up).  Here we explain how practically to do that.  The implementation we suggest requires some assumptions and we will clarify those as well.  </w:t>
      </w:r>
    </w:p>
    <w:p w14:paraId="2484F07D" w14:textId="77777777" w:rsidR="005007AA" w:rsidRDefault="005007AA" w:rsidP="003927B5"/>
    <w:p w14:paraId="1FD0D1CC" w14:textId="77777777" w:rsidR="00B50790" w:rsidRPr="00B50790" w:rsidRDefault="00503697" w:rsidP="00155C53">
      <w:pPr>
        <w:pStyle w:val="Heading2"/>
        <w:numPr>
          <w:ilvl w:val="0"/>
          <w:numId w:val="18"/>
        </w:numPr>
      </w:pPr>
      <w:bookmarkStart w:id="48" w:name="_Ref494633785"/>
      <w:bookmarkStart w:id="49" w:name="_Toc508877640"/>
      <w:r>
        <w:t>An example</w:t>
      </w:r>
      <w:r w:rsidR="009A2CCC">
        <w:t xml:space="preserve"> with the ADR renegotiation design mechanism</w:t>
      </w:r>
      <w:bookmarkEnd w:id="48"/>
      <w:bookmarkEnd w:id="49"/>
    </w:p>
    <w:p w14:paraId="290D4851" w14:textId="7D8CF4CC" w:rsidR="00B35E17" w:rsidRPr="00CC667B" w:rsidRDefault="00503697">
      <w:r w:rsidRPr="00CC667B">
        <w:t xml:space="preserve">Suppose that Apple and Corning wish to write a contract that includes an ADR mechanism to </w:t>
      </w:r>
      <w:r w:rsidR="00B50790" w:rsidRPr="00CC667B">
        <w:t xml:space="preserve">structure renegotiation after a </w:t>
      </w:r>
      <w:r w:rsidR="00485CB8">
        <w:t>hold-up</w:t>
      </w:r>
      <w:r w:rsidR="00B50790" w:rsidRPr="00CC667B">
        <w:t xml:space="preserve"> so that the </w:t>
      </w:r>
      <w:r w:rsidR="00485CB8">
        <w:t>hold-up</w:t>
      </w:r>
      <w:r w:rsidR="00B50790" w:rsidRPr="00CC667B">
        <w:t xml:space="preserve"> does not deter efficient relationship specific investment.  </w:t>
      </w:r>
      <w:r w:rsidR="00B35E17" w:rsidRPr="00CC667B">
        <w:t xml:space="preserve">Recall that the </w:t>
      </w:r>
      <w:r w:rsidR="0077712C" w:rsidRPr="00CC667B">
        <w:t>ADR mechanism requires one party be given a default option and the other the credibility to make a take-it-or-leave-it offer.  Each requires commitment, i.e., the latter party must have strong incentives not to a second offer and the former a strong incentive not to renegotiate the default offer.</w:t>
      </w:r>
      <w:r w:rsidR="00B35E17" w:rsidRPr="00CC667B">
        <w:t xml:space="preserve"> How could the parties implement this</w:t>
      </w:r>
      <w:r w:rsidR="0063279C" w:rsidRPr="00CC667B">
        <w:t xml:space="preserve"> with these new technologies</w:t>
      </w:r>
      <w:r w:rsidR="00B35E17" w:rsidRPr="00CC667B">
        <w:t xml:space="preserve">? </w:t>
      </w:r>
      <w:r w:rsidR="0077712C" w:rsidRPr="00CC667B">
        <w:t xml:space="preserve">  </w:t>
      </w:r>
    </w:p>
    <w:p w14:paraId="49D38A81" w14:textId="204619F3" w:rsidR="00091764" w:rsidRDefault="0077712C">
      <w:r w:rsidRPr="00D92B7A">
        <w:t xml:space="preserve">Learning from Section </w:t>
      </w:r>
      <w:r w:rsidRPr="00D92B7A">
        <w:fldChar w:fldCharType="begin"/>
      </w:r>
      <w:r w:rsidRPr="00D92B7A">
        <w:instrText xml:space="preserve"> REF _Ref494438588 \w \h </w:instrText>
      </w:r>
      <w:r w:rsidR="00B35E17" w:rsidRPr="00D92B7A">
        <w:instrText xml:space="preserve"> \* MERGEFORMAT </w:instrText>
      </w:r>
      <w:r w:rsidRPr="00D92B7A">
        <w:fldChar w:fldCharType="separate"/>
      </w:r>
      <w:r w:rsidR="001F75CE">
        <w:t>III</w:t>
      </w:r>
      <w:r w:rsidRPr="00D92B7A">
        <w:fldChar w:fldCharType="end"/>
      </w:r>
      <w:r w:rsidR="00091764">
        <w:t>.</w:t>
      </w:r>
      <w:r w:rsidR="00091764">
        <w:fldChar w:fldCharType="begin"/>
      </w:r>
      <w:r w:rsidR="00091764">
        <w:instrText xml:space="preserve"> REF _Ref494706746 \w \h </w:instrText>
      </w:r>
      <w:r w:rsidR="00091764">
        <w:fldChar w:fldCharType="separate"/>
      </w:r>
      <w:r w:rsidR="001F75CE">
        <w:t>D</w:t>
      </w:r>
      <w:r w:rsidR="00091764">
        <w:fldChar w:fldCharType="end"/>
      </w:r>
      <w:r w:rsidR="00091764">
        <w:t>.</w:t>
      </w:r>
      <w:r w:rsidR="00091764">
        <w:fldChar w:fldCharType="begin"/>
      </w:r>
      <w:r w:rsidR="00091764">
        <w:instrText xml:space="preserve"> REF _Ref494706766 \w \h </w:instrText>
      </w:r>
      <w:r w:rsidR="00091764">
        <w:fldChar w:fldCharType="separate"/>
      </w:r>
      <w:r w:rsidR="001F75CE">
        <w:t>1</w:t>
      </w:r>
      <w:r w:rsidR="00091764">
        <w:fldChar w:fldCharType="end"/>
      </w:r>
      <w:r w:rsidRPr="00D92B7A">
        <w:t xml:space="preserve">, </w:t>
      </w:r>
      <w:r w:rsidR="00091764">
        <w:t xml:space="preserve">we would first ask how much information the parties have.  If it is enough to devise a renegotiation design or revelation mechanism, then the parties would want to construct </w:t>
      </w:r>
      <w:r w:rsidR="00091764" w:rsidRPr="00D92B7A">
        <w:t>a penalty provision that deters deviation from the mechanism and that cannot be undone by courts or the parties through renegotiation</w:t>
      </w:r>
      <w:r w:rsidR="00091764">
        <w:t xml:space="preserve">.  If the amount of information is not adequate to devise such mechanisms, the only thing the parties can do is construct a penalty provision that discourages any deviation from the original contract.  Of course, such a penalty provision would also bar renegotiation due honestly to changed circumstances and that does not affect ex ante incentives to invest.  So the parties should not construct a penalty that locks in the original contract unless the expected cost of </w:t>
      </w:r>
      <w:r w:rsidR="00485CB8">
        <w:t>hold-up</w:t>
      </w:r>
      <w:r w:rsidR="00091764">
        <w:t xml:space="preserve"> is greater than the expected cost of inflexibility.</w:t>
      </w:r>
    </w:p>
    <w:p w14:paraId="7D9C10A8" w14:textId="21FF3A34" w:rsidR="008E4703" w:rsidRDefault="00091764">
      <w:r>
        <w:t xml:space="preserve">To illustrate how a penalty clause could be constructed, suppose the parties have enough information to write an ADR renegotiation design mechanism.  Let’s see how the penalty provision would work.  First, we examine </w:t>
      </w:r>
      <w:r w:rsidR="0077712C">
        <w:t>the default option.  In our example</w:t>
      </w:r>
      <w:r w:rsidR="001050A1">
        <w:t>,</w:t>
      </w:r>
      <w:r w:rsidR="0077712C">
        <w:t xml:space="preserve"> it is Corning that is to be given the option to trade a unit with probability 5/6 at price 23 1/3.  We would </w:t>
      </w:r>
      <w:r w:rsidR="008E4703">
        <w:t xml:space="preserve">script </w:t>
      </w:r>
      <w:r w:rsidR="0077712C">
        <w:t xml:space="preserve">a clause in the smart contract </w:t>
      </w:r>
      <w:r w:rsidR="008E4703">
        <w:t xml:space="preserve">code </w:t>
      </w:r>
      <w:r w:rsidR="0077712C">
        <w:t xml:space="preserve">that says Corning can ask for the default trade and if that trade is not consummated, then Apple pays a penalty.  </w:t>
      </w:r>
      <w:r w:rsidR="00384D46">
        <w:t>Likewise, the smart contract code would make Apple pay a penalty if it communicated a second offer to Corning after Corning refused its first ostensibly take-it-or-leave-it offer.</w:t>
      </w:r>
    </w:p>
    <w:p w14:paraId="6737F6F0" w14:textId="435D0DA5" w:rsidR="00B35E17" w:rsidRDefault="0077712C">
      <w:r w:rsidRPr="00D92B7A">
        <w:t>In order not to skew the incentives of the parties when playing the ADR game, the penalty must flow to a third party.</w:t>
      </w:r>
      <w:r w:rsidR="0011769A">
        <w:rPr>
          <w:rStyle w:val="FootnoteReference"/>
        </w:rPr>
        <w:footnoteReference w:id="128"/>
      </w:r>
      <w:r>
        <w:t xml:space="preserve">  For instance, if the smart contract does not observe the </w:t>
      </w:r>
      <w:r w:rsidR="00384D46">
        <w:t xml:space="preserve">default </w:t>
      </w:r>
      <w:r>
        <w:t>trade by a certain time</w:t>
      </w:r>
      <w:r w:rsidR="00384D46">
        <w:t xml:space="preserve"> or if it observes a second offer from Apple</w:t>
      </w:r>
      <w:r>
        <w:t xml:space="preserve">, then the code would irreversibly transfer money </w:t>
      </w:r>
      <w:r w:rsidR="00384D46">
        <w:t xml:space="preserve">from Apple </w:t>
      </w:r>
      <w:r>
        <w:t xml:space="preserve">to anonymous third parties.  </w:t>
      </w:r>
    </w:p>
    <w:p w14:paraId="69094368" w14:textId="6ABA0F5F" w:rsidR="00681934" w:rsidRDefault="008E4703">
      <w:r w:rsidRPr="00D92B7A">
        <w:t xml:space="preserve">Blockchain makes </w:t>
      </w:r>
      <w:r w:rsidR="00B35E17" w:rsidRPr="00D92B7A">
        <w:t>it possible for penalties to flow to third parties</w:t>
      </w:r>
      <w:r w:rsidRPr="00897558">
        <w:t>.</w:t>
      </w:r>
      <w:r>
        <w:t xml:space="preserve">  All the smart contract has to do is specify that some large amount would be transferred from Apple’s account (</w:t>
      </w:r>
      <w:r w:rsidR="00681934">
        <w:t>its</w:t>
      </w:r>
      <w:r>
        <w:t xml:space="preserve"> public address or key) on the network to a randomly generated list of public addresses or keys and that the smart contract would announce to the blockchain network the private keys associated with those public keys.</w:t>
      </w:r>
      <w:r w:rsidR="00681934">
        <w:t xml:space="preserve"> </w:t>
      </w:r>
      <w:r>
        <w:t xml:space="preserve"> The latter step would allow any node on the network to access and transfer to their account the money at those public addresses.  It would as if the code announced that there was a pile of cash on the corner of Broadway and Fifth Avenue in Manhattan: people would rush to take the money.</w:t>
      </w:r>
      <w:r w:rsidR="0011769A">
        <w:rPr>
          <w:rStyle w:val="FootnoteReference"/>
        </w:rPr>
        <w:footnoteReference w:id="129"/>
      </w:r>
      <w:r>
        <w:t xml:space="preserve">  </w:t>
      </w:r>
      <w:r w:rsidR="00681934">
        <w:t xml:space="preserve">The entities that collect the money distributed by the smart contract would be able to remain anonymous – as blockchain allows </w:t>
      </w:r>
      <w:r w:rsidR="00681934">
        <w:lastRenderedPageBreak/>
        <w:t>anonymous transactions.</w:t>
      </w:r>
      <w:r w:rsidR="0011769A">
        <w:rPr>
          <w:rStyle w:val="FootnoteReference"/>
        </w:rPr>
        <w:footnoteReference w:id="130"/>
      </w:r>
      <w:r w:rsidR="00681934">
        <w:t xml:space="preserve">  If that entity were located in a country that did not have a </w:t>
      </w:r>
      <w:proofErr w:type="spellStart"/>
      <w:r w:rsidR="00681934">
        <w:t>know</w:t>
      </w:r>
      <w:proofErr w:type="spellEnd"/>
      <w:r w:rsidR="00681934">
        <w:t>-your-customer (KYC) requirement, they could also convert that money into the government currency of their choice.  There are plenty of countries happy to do that.</w:t>
      </w:r>
      <w:r w:rsidR="0011769A">
        <w:rPr>
          <w:rStyle w:val="FootnoteReference"/>
        </w:rPr>
        <w:footnoteReference w:id="131"/>
      </w:r>
    </w:p>
    <w:p w14:paraId="236BCE0A" w14:textId="77777777" w:rsidR="00B35E17" w:rsidRDefault="00B35E17">
      <w:r w:rsidRPr="00D92B7A">
        <w:t>The penalized party</w:t>
      </w:r>
      <w:r w:rsidR="00DE2196">
        <w:t>,</w:t>
      </w:r>
      <w:r w:rsidRPr="00D92B7A">
        <w:t xml:space="preserve"> and perhaps even the non-penalized party</w:t>
      </w:r>
      <w:r w:rsidR="00DE2196">
        <w:t>,</w:t>
      </w:r>
      <w:r w:rsidRPr="00D92B7A">
        <w:t xml:space="preserve"> would have an incentive to go to court to enjoin the penalty</w:t>
      </w:r>
      <w:r w:rsidRPr="005122E8">
        <w:t>.</w:t>
      </w:r>
      <w:r>
        <w:t xml:space="preserve">  With the default option, Apple would have an incentive to not be penalized for defying Corning’s request.  With Apple’s take</w:t>
      </w:r>
      <w:r w:rsidR="009B603C">
        <w:t>-</w:t>
      </w:r>
      <w:r>
        <w:t>it</w:t>
      </w:r>
      <w:r w:rsidR="009B603C">
        <w:t>-</w:t>
      </w:r>
      <w:r>
        <w:t>or</w:t>
      </w:r>
      <w:r w:rsidR="009B603C">
        <w:t>-</w:t>
      </w:r>
      <w:r>
        <w:t>leave</w:t>
      </w:r>
      <w:r w:rsidR="009B603C">
        <w:t>-</w:t>
      </w:r>
      <w:r>
        <w:t xml:space="preserve">it offer, Apple has an ex post incentive to avoid the penalty for making a second offer and Corning has an incentive to receive a second Apple offer, meaning both would want to petition a court.  </w:t>
      </w:r>
    </w:p>
    <w:p w14:paraId="79CC26A1" w14:textId="787BAC1F" w:rsidR="008E4703" w:rsidRDefault="0063279C">
      <w:r w:rsidRPr="00D92B7A">
        <w:t>T</w:t>
      </w:r>
      <w:r w:rsidR="00B35E17" w:rsidRPr="00D92B7A">
        <w:t xml:space="preserve">he future commitment feature of smart contracts and the irreversibility of blockchain </w:t>
      </w:r>
      <w:r w:rsidR="00DE2196">
        <w:t xml:space="preserve">transactions </w:t>
      </w:r>
      <w:r w:rsidRPr="00D92B7A">
        <w:t>can render court injunctions ineffective</w:t>
      </w:r>
      <w:r w:rsidRPr="00DE2196">
        <w:t>.</w:t>
      </w:r>
      <w:r w:rsidR="00B35E17">
        <w:t xml:space="preserve"> </w:t>
      </w:r>
      <w:r>
        <w:t xml:space="preserve"> O</w:t>
      </w:r>
      <w:r w:rsidR="00B35E17">
        <w:t xml:space="preserve">nce the parties sign the agreement, future exchanges are already booked and cannot be undone </w:t>
      </w:r>
      <w:r>
        <w:t xml:space="preserve">– by either the parties or a court – </w:t>
      </w:r>
      <w:r w:rsidR="00B35E17">
        <w:t>without having either a majority of the computing power or the tokens on the blockchain.</w:t>
      </w:r>
      <w:r w:rsidR="00244DC8">
        <w:rPr>
          <w:rStyle w:val="FootnoteReference"/>
        </w:rPr>
        <w:footnoteReference w:id="132"/>
      </w:r>
      <w:r w:rsidR="00B35E17">
        <w:t xml:space="preserve">  A court does not have that.  Thus</w:t>
      </w:r>
      <w:r w:rsidR="005122E8">
        <w:t>,</w:t>
      </w:r>
      <w:r w:rsidR="00B35E17">
        <w:t xml:space="preserve"> a court can no more require a transaction on blockchain be reversed than it can require that the stock price of a company that committed fraud increase to compensate shareholders.  </w:t>
      </w:r>
    </w:p>
    <w:p w14:paraId="27F2D5E4" w14:textId="77777777" w:rsidR="0063279C" w:rsidRDefault="0063279C">
      <w:r w:rsidRPr="00D92B7A">
        <w:t>Court-ordered damages would not help undermine the smart contract commitment</w:t>
      </w:r>
      <w:r w:rsidRPr="00DE2196">
        <w:t>.</w:t>
      </w:r>
      <w:r>
        <w:t xml:space="preserve">  For one thing, punishing Corning because Apple has to pay a penalty does not change Apple’s incentives unless Corning has to pay Apple to compensate for the penalty Apple must pay.  But if Corning has to pay Apple, then the penalty script in the smart contract can make the penalty contingent on subsequent damages ordered by a court.  For example, if the optimal penalty on Apple for say, making more than one offer, is 100 and the damages awarded by the court for making Apple pay a penalty is D, the script could say Apple must pay 100 + D.</w:t>
      </w:r>
    </w:p>
    <w:p w14:paraId="2A0458C8" w14:textId="77777777" w:rsidR="0063279C" w:rsidRDefault="0063279C">
      <w:pPr>
        <w:rPr>
          <w:rFonts w:eastAsiaTheme="minorEastAsia"/>
        </w:rPr>
      </w:pPr>
      <w:r w:rsidRPr="00D92B7A">
        <w:t xml:space="preserve">Apple may be tempted to hold Corning up but avoid penalties by </w:t>
      </w:r>
      <w:r w:rsidR="007D3111" w:rsidRPr="00D92B7A">
        <w:t>renegotiating in two steps</w:t>
      </w:r>
      <w:r w:rsidR="007D3111" w:rsidRPr="00DE2196">
        <w:t>.</w:t>
      </w:r>
      <w:r w:rsidR="007D3111">
        <w:t xml:space="preserve">  First, they would comply </w:t>
      </w:r>
      <w:r>
        <w:t>with the ADR mechanism in the original contract</w:t>
      </w:r>
      <w:r w:rsidR="007D3111">
        <w:t xml:space="preserve">.  Second, they would simultaneously write </w:t>
      </w:r>
      <w:r>
        <w:t xml:space="preserve">a separate contract with Corning that </w:t>
      </w:r>
      <w:r w:rsidR="00072F01">
        <w:t>functionally puts Apple in the same position as if it had successfully help up Corning</w:t>
      </w:r>
      <w:r w:rsidR="007D3111">
        <w:t xml:space="preserve"> in the original contracts.  This second contract would say that </w:t>
      </w:r>
      <w:r>
        <w:t xml:space="preserve">Corning will sell to Apple </w:t>
      </w:r>
      <w:r w:rsidR="00072F01">
        <w:t xml:space="preserve">one unit of Gorilla glass </w:t>
      </w:r>
      <w:r>
        <w:t xml:space="preserve">at a price that is equal to the price the parties would negotiate for Gorilla glass in the abstract </w:t>
      </w:r>
      <w:r w:rsidR="007D3111">
        <w:t xml:space="preserve">(say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7D3111">
        <w:t xml:space="preserve">) </w:t>
      </w:r>
      <w:r>
        <w:t xml:space="preserve">minus an amount equal </w:t>
      </w:r>
      <w:r w:rsidR="007D3111">
        <w:t xml:space="preserve">how much a successful hold-up in the original contract would benefit Apple.  This benefit is equal to </w:t>
      </w:r>
      <w:r>
        <w:t xml:space="preserve">the difference between </w:t>
      </w:r>
      <w:r w:rsidR="007D3111">
        <w:t>the price that the original contract specified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7D3111">
        <w:t>) and the price Apple could extract if it were able successfully to hold Corning up (</w:t>
      </w:r>
      <m:oMath>
        <m:sSub>
          <m:sSubPr>
            <m:ctrlPr>
              <w:rPr>
                <w:rFonts w:ascii="Cambria Math" w:hAnsi="Cambria Math"/>
                <w:i/>
              </w:rPr>
            </m:ctrlPr>
          </m:sSubPr>
          <m:e>
            <m:r>
              <w:rPr>
                <w:rFonts w:ascii="Cambria Math" w:hAnsi="Cambria Math"/>
              </w:rPr>
              <m:t>p</m:t>
            </m:r>
          </m:e>
          <m:sub>
            <m:r>
              <w:rPr>
                <w:rFonts w:ascii="Cambria Math" w:hAnsi="Cambria Math"/>
              </w:rPr>
              <m:t>H</m:t>
            </m:r>
          </m:sub>
        </m:sSub>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1</m:t>
            </m:r>
          </m:sub>
        </m:sSub>
      </m:oMath>
      <w:r w:rsidR="007D3111">
        <w:t>).  In short</w:t>
      </w:r>
      <w:r w:rsidR="00DE2196">
        <w:t>,</w:t>
      </w:r>
      <w:r w:rsidR="007D3111">
        <w:t xml:space="preserve"> the second contract price would be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H</m:t>
                </m:r>
              </m:sub>
            </m:sSub>
          </m:e>
        </m:d>
      </m:oMath>
      <w:r w:rsidR="007D3111">
        <w:rPr>
          <w:rFonts w:eastAsiaTheme="minorEastAsia"/>
        </w:rPr>
        <w:t xml:space="preserve">.  </w:t>
      </w:r>
    </w:p>
    <w:p w14:paraId="03CEB90A" w14:textId="51E410E6" w:rsidR="007D3111" w:rsidRDefault="007D3111">
      <w:r w:rsidRPr="00D92B7A">
        <w:rPr>
          <w:rFonts w:eastAsiaTheme="minorEastAsia"/>
        </w:rPr>
        <w:t xml:space="preserve">Blockchain can be used to prevent </w:t>
      </w:r>
      <w:r w:rsidR="00681934" w:rsidRPr="00D92B7A">
        <w:rPr>
          <w:rFonts w:eastAsiaTheme="minorEastAsia"/>
        </w:rPr>
        <w:t>renegotiating through subsequent contracts as well</w:t>
      </w:r>
      <w:r w:rsidRPr="00FD3416">
        <w:rPr>
          <w:rFonts w:eastAsiaTheme="minorEastAsia"/>
        </w:rPr>
        <w:t>.</w:t>
      </w:r>
      <w:r>
        <w:rPr>
          <w:rFonts w:eastAsiaTheme="minorEastAsia"/>
        </w:rPr>
        <w:t xml:space="preserve">  The smart contract could crudely specify that, if there were a second exchange between Apple and Corning, the penalty would be triggered.  Of course, that approach would have collateral damage: the parties may </w:t>
      </w:r>
      <w:r>
        <w:rPr>
          <w:rFonts w:eastAsiaTheme="minorEastAsia"/>
        </w:rPr>
        <w:lastRenderedPageBreak/>
        <w:t>reasonably want to trade a second time and this penalty trigger would prevent that.  To address that, the parties could agree that the penalty would only be triggered if the second contract had a lower price than the first contract</w:t>
      </w:r>
      <w:r w:rsidR="00681934">
        <w:rPr>
          <w:rFonts w:eastAsiaTheme="minorEastAsia"/>
        </w:rPr>
        <w:t>, though this would create problems if Corning’s costs fell over time</w:t>
      </w:r>
      <w:r>
        <w:rPr>
          <w:rFonts w:eastAsiaTheme="minorEastAsia"/>
        </w:rPr>
        <w:t xml:space="preserve">.  </w:t>
      </w:r>
      <w:r w:rsidR="00681934">
        <w:rPr>
          <w:rFonts w:eastAsiaTheme="minorEastAsia"/>
        </w:rPr>
        <w:t>Alternatively</w:t>
      </w:r>
      <w:r>
        <w:rPr>
          <w:rFonts w:eastAsiaTheme="minorEastAsia"/>
        </w:rPr>
        <w:t xml:space="preserve">, they could even configure the smart contract to both structure renegotiation on the first </w:t>
      </w:r>
      <w:r w:rsidR="00681934">
        <w:rPr>
          <w:rFonts w:eastAsiaTheme="minorEastAsia"/>
        </w:rPr>
        <w:t xml:space="preserve">trade </w:t>
      </w:r>
      <w:r>
        <w:rPr>
          <w:rFonts w:eastAsiaTheme="minorEastAsia"/>
        </w:rPr>
        <w:t xml:space="preserve">and to </w:t>
      </w:r>
      <w:r w:rsidR="00CC7BF8">
        <w:rPr>
          <w:rFonts w:eastAsiaTheme="minorEastAsia"/>
        </w:rPr>
        <w:t>provide a frame</w:t>
      </w:r>
      <w:r w:rsidR="00681934">
        <w:rPr>
          <w:rFonts w:eastAsiaTheme="minorEastAsia"/>
        </w:rPr>
        <w:t>work for subsequent trades.</w:t>
      </w:r>
      <w:r w:rsidR="00244DC8">
        <w:rPr>
          <w:rStyle w:val="FootnoteReference"/>
          <w:rFonts w:eastAsiaTheme="minorEastAsia"/>
        </w:rPr>
        <w:footnoteReference w:id="133"/>
      </w:r>
      <w:r w:rsidR="00681934">
        <w:rPr>
          <w:rFonts w:eastAsiaTheme="minorEastAsia"/>
        </w:rPr>
        <w:t xml:space="preserve">  That framework </w:t>
      </w:r>
      <w:r>
        <w:rPr>
          <w:rFonts w:eastAsiaTheme="minorEastAsia"/>
        </w:rPr>
        <w:t>include</w:t>
      </w:r>
      <w:r w:rsidR="00FD3416">
        <w:rPr>
          <w:rFonts w:eastAsiaTheme="minorEastAsia"/>
        </w:rPr>
        <w:t>s</w:t>
      </w:r>
      <w:r>
        <w:rPr>
          <w:rFonts w:eastAsiaTheme="minorEastAsia"/>
        </w:rPr>
        <w:t xml:space="preserve"> a revelation mechanism </w:t>
      </w:r>
      <w:r w:rsidR="00681934">
        <w:rPr>
          <w:rFonts w:eastAsiaTheme="minorEastAsia"/>
        </w:rPr>
        <w:t xml:space="preserve">for subsequent trades </w:t>
      </w:r>
      <w:r>
        <w:rPr>
          <w:rFonts w:eastAsiaTheme="minorEastAsia"/>
        </w:rPr>
        <w:t xml:space="preserve">that would allow the smart contract to compare the price and cost c of the </w:t>
      </w:r>
      <w:r w:rsidR="00681934">
        <w:rPr>
          <w:rFonts w:eastAsiaTheme="minorEastAsia"/>
        </w:rPr>
        <w:t>subsequent trades to en</w:t>
      </w:r>
      <w:r>
        <w:rPr>
          <w:rFonts w:eastAsiaTheme="minorEastAsia"/>
        </w:rPr>
        <w:t xml:space="preserve">sure </w:t>
      </w:r>
      <w:r w:rsidR="00681934">
        <w:rPr>
          <w:rFonts w:eastAsiaTheme="minorEastAsia"/>
        </w:rPr>
        <w:t xml:space="preserve">that </w:t>
      </w:r>
      <w:r>
        <w:rPr>
          <w:rFonts w:eastAsiaTheme="minorEastAsia"/>
        </w:rPr>
        <w:t xml:space="preserve">Corning was fully reimbursed for its investment in </w:t>
      </w:r>
      <w:r w:rsidR="00681934">
        <w:rPr>
          <w:rFonts w:eastAsiaTheme="minorEastAsia"/>
        </w:rPr>
        <w:t>prior to the first trade</w:t>
      </w:r>
      <w:r>
        <w:rPr>
          <w:rFonts w:eastAsiaTheme="minorEastAsia"/>
        </w:rPr>
        <w:t xml:space="preserve">.  </w:t>
      </w:r>
    </w:p>
    <w:p w14:paraId="2C9D79F1" w14:textId="3D209C9B" w:rsidR="00863372" w:rsidRDefault="00384D46">
      <w:r w:rsidRPr="00D92B7A">
        <w:t xml:space="preserve">A natural question is how the </w:t>
      </w:r>
      <w:r w:rsidR="00863372" w:rsidRPr="00D92B7A">
        <w:t xml:space="preserve">smart contract </w:t>
      </w:r>
      <w:r w:rsidRPr="00D92B7A">
        <w:t>code would know if Corning or Apple violated the default option or final offer</w:t>
      </w:r>
      <w:r w:rsidR="00863372" w:rsidRPr="00D92B7A">
        <w:t xml:space="preserve"> or negotiated a subsequent contract that de facto renegotiated their original contract</w:t>
      </w:r>
      <w:r w:rsidRPr="00FD3416">
        <w:t>.</w:t>
      </w:r>
      <w:r>
        <w:t xml:space="preserve">  </w:t>
      </w:r>
      <w:r w:rsidR="00863372">
        <w:t xml:space="preserve">The smart contract </w:t>
      </w:r>
      <w:r>
        <w:t xml:space="preserve">can certainly monitor the blockchain </w:t>
      </w:r>
      <w:r w:rsidR="00681934">
        <w:t xml:space="preserve">– the ledger of transactions – </w:t>
      </w:r>
      <w:r>
        <w:t xml:space="preserve">on the network, in which case it would know directly if another trade occurs.  </w:t>
      </w:r>
      <w:r w:rsidR="00747283">
        <w:t xml:space="preserve">It is here that the open feature of blockchain is critical.  </w:t>
      </w:r>
      <w:r>
        <w:t xml:space="preserve">It could also monitor communications or accounts not on the blockchain network by using </w:t>
      </w:r>
      <w:r w:rsidR="00681934">
        <w:t>application program interfaces (</w:t>
      </w:r>
      <w:r>
        <w:t>APIs</w:t>
      </w:r>
      <w:r w:rsidR="00681934">
        <w:t>)</w:t>
      </w:r>
      <w:r>
        <w:t xml:space="preserve"> that gave it access to the parties</w:t>
      </w:r>
      <w:r w:rsidR="00681934">
        <w:t>’</w:t>
      </w:r>
      <w:r>
        <w:t xml:space="preserve"> messages or </w:t>
      </w:r>
      <w:r w:rsidR="00681934">
        <w:t xml:space="preserve">to </w:t>
      </w:r>
      <w:r>
        <w:t>other accounts</w:t>
      </w:r>
      <w:r w:rsidR="00681934">
        <w:t xml:space="preserve"> the parties may have</w:t>
      </w:r>
      <w:r>
        <w:t>.</w:t>
      </w:r>
      <w:r w:rsidR="00244DC8">
        <w:rPr>
          <w:rStyle w:val="FootnoteReference"/>
        </w:rPr>
        <w:footnoteReference w:id="134"/>
      </w:r>
      <w:r>
        <w:t xml:space="preserve">  </w:t>
      </w:r>
      <w:r w:rsidR="00681934">
        <w:t>When the parties sign the contract, they want the penalties so they would have an incentive to allow the smart contract access to a</w:t>
      </w:r>
      <w:r w:rsidR="00863372">
        <w:t>ll their message</w:t>
      </w:r>
      <w:r w:rsidR="00FD3416">
        <w:t>s</w:t>
      </w:r>
      <w:r w:rsidR="00863372">
        <w:t xml:space="preserve"> and accounts.</w:t>
      </w:r>
      <w:r w:rsidR="00863372">
        <w:rPr>
          <w:rStyle w:val="FootnoteReference"/>
        </w:rPr>
        <w:footnoteReference w:id="135"/>
      </w:r>
      <w:r w:rsidR="00863372">
        <w:t xml:space="preserve">  </w:t>
      </w:r>
    </w:p>
    <w:p w14:paraId="305BED11" w14:textId="296B06FB" w:rsidR="00384D46" w:rsidRDefault="00863372">
      <w:r w:rsidRPr="00D92B7A">
        <w:t>Of course</w:t>
      </w:r>
      <w:r w:rsidR="00F2786F" w:rsidRPr="00D92B7A">
        <w:t>,</w:t>
      </w:r>
      <w:r w:rsidRPr="00D92B7A">
        <w:t xml:space="preserve"> the fact that the parties want to share information does not mean it is easy to do so</w:t>
      </w:r>
      <w:r w:rsidRPr="00FD3416">
        <w:t>.</w:t>
      </w:r>
      <w:r>
        <w:t xml:space="preserve">  It may be difficult to give access to all communications between parties, e.g., in person conversations between employees of the two parties.</w:t>
      </w:r>
      <w:r w:rsidR="0018653F">
        <w:rPr>
          <w:rStyle w:val="FootnoteReference"/>
        </w:rPr>
        <w:footnoteReference w:id="136"/>
      </w:r>
      <w:r>
        <w:t xml:space="preserve">  It may also be that the parties have accounts at some banks that do not provide APIs that can give the smart contract access and the parties cannot change those banks’ policies.  We hope this is a limitation that recedes in time as more accounts become interoperable in the sense of providing API access.  We also think it may not be a large limitation as parties certainly have an incentive to keep most of their money in accounts with banks that offer APIs as those APIs allow the parties themselves to monitor their own accounts more easily.  </w:t>
      </w:r>
    </w:p>
    <w:p w14:paraId="1B0AB0DF" w14:textId="77777777" w:rsidR="005007AA" w:rsidRDefault="005007AA"/>
    <w:p w14:paraId="51A268D6" w14:textId="77777777" w:rsidR="009A2CCC" w:rsidRDefault="009A2CCC" w:rsidP="00155C53">
      <w:pPr>
        <w:pStyle w:val="Heading2"/>
        <w:numPr>
          <w:ilvl w:val="0"/>
          <w:numId w:val="18"/>
        </w:numPr>
      </w:pPr>
      <w:bookmarkStart w:id="50" w:name="_Toc508877641"/>
      <w:r>
        <w:lastRenderedPageBreak/>
        <w:t>Generalizing the example</w:t>
      </w:r>
      <w:bookmarkEnd w:id="50"/>
    </w:p>
    <w:p w14:paraId="5E9CB467" w14:textId="77777777" w:rsidR="004E760F" w:rsidRDefault="00863372">
      <w:r w:rsidRPr="00D92B7A">
        <w:t xml:space="preserve">Having shown through example how ADR provisions might be implemented, we can infer how </w:t>
      </w:r>
      <w:r w:rsidR="004E760F" w:rsidRPr="00D92B7A">
        <w:t xml:space="preserve">the provisions required for </w:t>
      </w:r>
      <w:r w:rsidRPr="00D92B7A">
        <w:t xml:space="preserve">a revelation mechanism or the original contract </w:t>
      </w:r>
      <w:r w:rsidR="004E760F" w:rsidRPr="00D92B7A">
        <w:t xml:space="preserve">as a whole </w:t>
      </w:r>
      <w:r w:rsidRPr="00D92B7A">
        <w:t>can be implemented via smart contract</w:t>
      </w:r>
      <w:r w:rsidRPr="004A5EB7">
        <w:t>.</w:t>
      </w:r>
      <w:r>
        <w:t xml:space="preserve">  The smart contract can employ penalties to get the parties</w:t>
      </w:r>
      <w:r w:rsidR="004E760F">
        <w:t xml:space="preserve"> to comply with specific steps of the revelation mechanism.  To </w:t>
      </w:r>
      <w:r w:rsidR="009A2CCC">
        <w:t xml:space="preserve">complete each mechanism, </w:t>
      </w:r>
      <w:r w:rsidR="004E760F">
        <w:t xml:space="preserve">the </w:t>
      </w:r>
      <w:r w:rsidR="009A2CCC">
        <w:t xml:space="preserve">smart contracts must </w:t>
      </w:r>
      <w:r w:rsidR="004E760F">
        <w:t xml:space="preserve">require that parties take actions in a certain sequence, e.g., the take-it-or-leave-it offer comes before the default option can be triggered, </w:t>
      </w:r>
      <w:r w:rsidR="009A2CCC">
        <w:t>otherwise the party that was not supposed to move faces penalties.  Since the renegotiation</w:t>
      </w:r>
      <w:r w:rsidR="004A5EB7">
        <w:t>-</w:t>
      </w:r>
      <w:r w:rsidR="009A2CCC">
        <w:t xml:space="preserve">design mechanism is the whole contract, the parties that want to employ that mechanism need only specify the steps that mechanism requires.  Parties that wish to employ the revelation mechanism can only finalize their smart contract by adding to their revelation mechanism a schedule of contingent trades that are each triggered by different combination of valuations </w:t>
      </w:r>
      <m:oMath>
        <m:r>
          <w:rPr>
            <w:rFonts w:ascii="Cambria Math" w:hAnsi="Cambria Math"/>
          </w:rPr>
          <m:t>v</m:t>
        </m:r>
      </m:oMath>
      <w:r w:rsidR="009A2CCC">
        <w:t xml:space="preserve"> and costs </w:t>
      </w:r>
      <m:oMath>
        <m:r>
          <w:rPr>
            <w:rFonts w:ascii="Cambria Math" w:hAnsi="Cambria Math"/>
          </w:rPr>
          <m:t>c</m:t>
        </m:r>
      </m:oMath>
      <w:r w:rsidR="009A2CCC">
        <w:t xml:space="preserve"> revealed through the revelation mechanism.  </w:t>
      </w:r>
    </w:p>
    <w:p w14:paraId="3CC1CB61" w14:textId="77777777" w:rsidR="009A2CCC" w:rsidRDefault="009A2CCC">
      <w:r w:rsidRPr="00D92B7A">
        <w:t xml:space="preserve">For those parties that do not have the relevant information to </w:t>
      </w:r>
      <w:r w:rsidR="00AD6234" w:rsidRPr="00D92B7A">
        <w:t>devise renegotiation design or revelation mechanisms, blockchain still has value</w:t>
      </w:r>
      <w:r w:rsidR="00AD6234" w:rsidRPr="004A5EB7">
        <w:t>.</w:t>
      </w:r>
      <w:r w:rsidR="00AD6234">
        <w:t xml:space="preserve">  Such parties have to make a choice: write a contract that never allows</w:t>
      </w:r>
      <w:r w:rsidR="004A5EB7">
        <w:t xml:space="preserve"> </w:t>
      </w:r>
      <w:r w:rsidR="00AD6234">
        <w:t>renegotiation</w:t>
      </w:r>
      <w:r w:rsidR="004A5EB7">
        <w:t>,</w:t>
      </w:r>
      <w:r w:rsidR="00AD6234">
        <w:t xml:space="preserve"> or always allows renegotiation, whether due to hold-up or to changed circumstances.  If they think the hold-up problem is bigger than the problem of inflexibility, they can bar renegotiation under any circumstance by imposing penalties for such renegotiation.  The steps were outlined above.  </w:t>
      </w:r>
    </w:p>
    <w:p w14:paraId="76CAA8A9" w14:textId="77777777" w:rsidR="005007AA" w:rsidRDefault="005007AA"/>
    <w:p w14:paraId="3F9F97BE" w14:textId="77777777" w:rsidR="009A2CCC" w:rsidRDefault="009A2CCC" w:rsidP="00155C53">
      <w:pPr>
        <w:pStyle w:val="Heading2"/>
        <w:numPr>
          <w:ilvl w:val="0"/>
          <w:numId w:val="18"/>
        </w:numPr>
      </w:pPr>
      <w:bookmarkStart w:id="51" w:name="_Toc508877642"/>
      <w:r>
        <w:t xml:space="preserve">Robustness of </w:t>
      </w:r>
      <w:r w:rsidR="00AD6234">
        <w:t xml:space="preserve">smart </w:t>
      </w:r>
      <w:r>
        <w:t>contracts</w:t>
      </w:r>
      <w:r w:rsidR="00AD6234">
        <w:t xml:space="preserve"> on the blockchain</w:t>
      </w:r>
      <w:bookmarkEnd w:id="51"/>
    </w:p>
    <w:p w14:paraId="688D1F79" w14:textId="02E970A8" w:rsidR="00BA7ADD" w:rsidRDefault="00AD6234">
      <w:r w:rsidRPr="00D92B7A">
        <w:t>Smart contracts on the blockchain have at least three limitations we have not yet discussed</w:t>
      </w:r>
      <w:r w:rsidRPr="009250D1">
        <w:t>.</w:t>
      </w:r>
      <w:r>
        <w:t xml:space="preserve">  One is that </w:t>
      </w:r>
      <w:r w:rsidR="00BA7ADD">
        <w:t xml:space="preserve">government </w:t>
      </w:r>
      <w:r>
        <w:t>may simply ban blockchain or smart contracts that impose penalties.</w:t>
      </w:r>
      <w:r w:rsidR="008439AC">
        <w:rPr>
          <w:rStyle w:val="FootnoteReference"/>
        </w:rPr>
        <w:footnoteReference w:id="137"/>
      </w:r>
      <w:r>
        <w:t xml:space="preserve">  We do not </w:t>
      </w:r>
      <w:r w:rsidR="00BA7ADD">
        <w:t>think this is likely</w:t>
      </w:r>
      <w:r>
        <w:t>.  Blockchain has a great deal of value outside the contractual commitment setting</w:t>
      </w:r>
      <w:r w:rsidR="00BA7ADD">
        <w:t>.  E</w:t>
      </w:r>
      <w:r>
        <w:t>ntities that obtain that value would lobby or litigate hard against a broad ban of blockchain.</w:t>
      </w:r>
      <w:r w:rsidR="008439AC">
        <w:rPr>
          <w:rStyle w:val="FootnoteReference"/>
        </w:rPr>
        <w:footnoteReference w:id="138"/>
      </w:r>
      <w:r>
        <w:t xml:space="preserve">  A </w:t>
      </w:r>
      <w:r w:rsidR="00BA7ADD">
        <w:t xml:space="preserve">narrower </w:t>
      </w:r>
      <w:r>
        <w:t>ban on smart contracts with penalties is more plausible.  It would be akin to a ban on penalty clauses.</w:t>
      </w:r>
      <w:r w:rsidR="008439AC">
        <w:rPr>
          <w:rStyle w:val="FootnoteReference"/>
        </w:rPr>
        <w:footnoteReference w:id="139"/>
      </w:r>
      <w:r>
        <w:t xml:space="preserve">  The </w:t>
      </w:r>
      <w:r w:rsidR="00BA7ADD">
        <w:t xml:space="preserve">main </w:t>
      </w:r>
      <w:r>
        <w:t xml:space="preserve">problem is that the ban is difficult to enforce.  Both parties to a contract with a penalty want that penalty ex ante, so have little incentive to report that they have written a smart contract with a penalty.  And ex post a court cannot rescue them from that penalty, if the penalty is written correctly.  </w:t>
      </w:r>
    </w:p>
    <w:p w14:paraId="08FD61CB" w14:textId="41D51F7F" w:rsidR="00BA7ADD" w:rsidRDefault="00AD6234">
      <w:r w:rsidRPr="00D92B7A">
        <w:t>Only a whistleblower</w:t>
      </w:r>
      <w:r w:rsidR="00BA7ADD" w:rsidRPr="00D92B7A">
        <w:t xml:space="preserve">, </w:t>
      </w:r>
      <w:r w:rsidRPr="00D92B7A">
        <w:t>a third party</w:t>
      </w:r>
      <w:r w:rsidR="00BA7ADD" w:rsidRPr="00D92B7A">
        <w:t>, or a contractual party who was coerced into agreeing to a smart contract penalty clause</w:t>
      </w:r>
      <w:r w:rsidRPr="00D92B7A">
        <w:t xml:space="preserve"> has an incentive to get courts involved</w:t>
      </w:r>
      <w:r w:rsidRPr="00734E44">
        <w:t>.</w:t>
      </w:r>
      <w:r>
        <w:t xml:space="preserve">  But legislators would have to authorize bounties for whistleblowers, </w:t>
      </w:r>
      <w:r w:rsidR="00BA7ADD">
        <w:t>an</w:t>
      </w:r>
      <w:r>
        <w:t xml:space="preserve">other </w:t>
      </w:r>
      <w:r w:rsidR="00BA7ADD">
        <w:t xml:space="preserve">type of </w:t>
      </w:r>
      <w:r>
        <w:t xml:space="preserve">third party standing, or criminal penalties.  Those may be political hard sells because no outsiders are hurt by the commitment described in this paper.  </w:t>
      </w:r>
      <w:r w:rsidR="00BA7ADD">
        <w:t xml:space="preserve">The biggest risk comes from coerced parties.  Indeed, it is likely these individuals who were able to </w:t>
      </w:r>
      <w:r w:rsidR="00BA7ADD">
        <w:lastRenderedPageBreak/>
        <w:t>undermine penalty clauses in non-smart contracts.  Perhaps the difficulty of enforcing a ban on all smart contracts with penalty causes will give courts an opportunity to limit their ban such agreements to those where one of the parties is unsophisticated and may have been coerced into signing it.</w:t>
      </w:r>
    </w:p>
    <w:p w14:paraId="7B9D4D62" w14:textId="77777777" w:rsidR="009A2CCC" w:rsidRDefault="00BA7ADD">
      <w:r w:rsidRPr="00D92B7A">
        <w:t>A second limitation concern with smart contracts on blockchain is that, like computer scripts generally, they are sensitive to honest mistakes</w:t>
      </w:r>
      <w:r w:rsidRPr="00FE5FBF">
        <w:t>.</w:t>
      </w:r>
      <w:r>
        <w:t xml:space="preserve">  For example, if Apple accidentally hits send on its email that contains a draft </w:t>
      </w:r>
      <w:r w:rsidR="00747283">
        <w:t xml:space="preserve">– but not the final draft – </w:t>
      </w:r>
      <w:r>
        <w:t>of its take-it-or-leave-it offer, the smart contract will not allow it to recall the message</w:t>
      </w:r>
      <w:r w:rsidR="00747283">
        <w:t xml:space="preserve"> otherwise Apple could circumvent the smart contract by calling its first offer a message it wants to recall</w:t>
      </w:r>
      <w:r>
        <w:t xml:space="preserve">.  To address the </w:t>
      </w:r>
      <w:r w:rsidR="00747283">
        <w:t xml:space="preserve">costs </w:t>
      </w:r>
      <w:r>
        <w:t xml:space="preserve">of such mistakes, game theorists sometimes look for equilibria of games that are robust to “trembling hands”; correlatively mechanism designers might look for </w:t>
      </w:r>
      <w:r w:rsidR="00747283">
        <w:t>game rules that yield</w:t>
      </w:r>
      <w:r>
        <w:t xml:space="preserve"> trembling hand perfect </w:t>
      </w:r>
      <w:r w:rsidR="00747283">
        <w:t xml:space="preserve">or robust </w:t>
      </w:r>
      <w:r>
        <w:t>equilibria.</w:t>
      </w:r>
      <w:r w:rsidR="00747283">
        <w:rPr>
          <w:rStyle w:val="FootnoteReference"/>
        </w:rPr>
        <w:footnoteReference w:id="140"/>
      </w:r>
      <w:r w:rsidR="00747283">
        <w:t xml:space="preserve">  We do not know if the mechanisms we have discussed in this paper are robust to errors, though empirical work by </w:t>
      </w:r>
      <w:proofErr w:type="spellStart"/>
      <w:r w:rsidR="00747283">
        <w:t>Aghion</w:t>
      </w:r>
      <w:proofErr w:type="spellEnd"/>
      <w:r w:rsidR="00747283">
        <w:t xml:space="preserve"> et al. (2017)</w:t>
      </w:r>
      <w:r w:rsidR="00AB4662">
        <w:rPr>
          <w:rStyle w:val="FootnoteReference"/>
        </w:rPr>
        <w:footnoteReference w:id="141"/>
      </w:r>
      <w:r w:rsidR="00747283">
        <w:t xml:space="preserve"> give us some hope that smaller mistakes might yield smaller deviations from first best incentives to invest.  </w:t>
      </w:r>
    </w:p>
    <w:p w14:paraId="5CAEA1FC" w14:textId="6D87E19A" w:rsidR="00747283" w:rsidRDefault="00747283">
      <w:r w:rsidRPr="00D92B7A">
        <w:t xml:space="preserve">A third limitation of the smart contract penalties is that they only work if the parties have </w:t>
      </w:r>
      <w:r w:rsidR="00FE5FBF" w:rsidRPr="00D92B7A">
        <w:t xml:space="preserve">sufficient </w:t>
      </w:r>
      <w:r w:rsidR="006F2D40" w:rsidRPr="00D92B7A">
        <w:t xml:space="preserve">assets </w:t>
      </w:r>
      <w:r w:rsidRPr="00D92B7A">
        <w:t xml:space="preserve">to </w:t>
      </w:r>
      <w:r w:rsidR="006F2D40" w:rsidRPr="00D92B7A">
        <w:t xml:space="preserve">pay </w:t>
      </w:r>
      <w:r w:rsidRPr="00D92B7A">
        <w:t>the penalties required by the smart contract</w:t>
      </w:r>
      <w:r w:rsidRPr="002E2A1B">
        <w:t>.</w:t>
      </w:r>
      <w:r>
        <w:t xml:space="preserve">  </w:t>
      </w:r>
      <w:r w:rsidR="006F2D40">
        <w:t xml:space="preserve">One way to ensure that smart contract penalties can be implemented and are effective is for the </w:t>
      </w:r>
      <w:r>
        <w:t xml:space="preserve">parties to </w:t>
      </w:r>
      <w:r w:rsidR="006F2D40">
        <w:t xml:space="preserve">place </w:t>
      </w:r>
      <w:r>
        <w:t xml:space="preserve">enough </w:t>
      </w:r>
      <w:r w:rsidR="006F2D40">
        <w:t xml:space="preserve">assets </w:t>
      </w:r>
      <w:r>
        <w:t xml:space="preserve">in their accounts on the blockchain </w:t>
      </w:r>
      <w:r w:rsidR="006F2D40">
        <w:t xml:space="preserve">network </w:t>
      </w:r>
      <w:r>
        <w:t xml:space="preserve">to cover penalties until both parties satisfactorily perform on the contract.  </w:t>
      </w:r>
      <w:r w:rsidR="006F2D40">
        <w:t xml:space="preserve">Note that these assets are available to be employed or spent until penalties are required if the parties take out a loan collateralized by the assets in their account on the blockchain.  Another way to </w:t>
      </w:r>
      <w:r w:rsidR="00AB4662">
        <w:t xml:space="preserve">ensure penalties can be covered </w:t>
      </w:r>
      <w:r w:rsidR="006F2D40">
        <w:t xml:space="preserve">is to not require the parties to put up a bond on the blockchain but </w:t>
      </w:r>
      <w:r w:rsidR="00AB4662">
        <w:t xml:space="preserve">to </w:t>
      </w:r>
      <w:r w:rsidR="006F2D40">
        <w:t xml:space="preserve">allow the smart contract to create debt on behalf of the penalized party to a lender, with the proceeds from the lender being used to pay third parties pursuant to the penalty.  The lender would be willing to do </w:t>
      </w:r>
      <w:r w:rsidR="00AB4662">
        <w:t>so long as the party on the hook for the penalty had enough assets, on the blockchain or otherwise.  Of course, if either party did not have enough assets to cover optimal penalties, optimal penalties would not be available.  In that case penalties would have to be lowered, and hold-up risks would rise commensurately.</w:t>
      </w:r>
    </w:p>
    <w:p w14:paraId="32892447" w14:textId="77777777" w:rsidR="00AB4662" w:rsidRDefault="00AB4662"/>
    <w:p w14:paraId="52418891" w14:textId="77777777" w:rsidR="009A2CCC" w:rsidRDefault="00AB4662" w:rsidP="002E0E6B">
      <w:pPr>
        <w:pStyle w:val="Heading1"/>
      </w:pPr>
      <w:bookmarkStart w:id="52" w:name="_Toc508877643"/>
      <w:r>
        <w:t>CONCLUSION</w:t>
      </w:r>
      <w:bookmarkEnd w:id="52"/>
    </w:p>
    <w:p w14:paraId="27F3CA36" w14:textId="0F29990C" w:rsidR="00614A32" w:rsidRDefault="00614A32" w:rsidP="00614A32">
      <w:r>
        <w:t xml:space="preserve">In this paper, we have highlighted the problem of </w:t>
      </w:r>
      <w:r w:rsidR="00485CB8">
        <w:t>hold-up</w:t>
      </w:r>
      <w:r>
        <w:t xml:space="preserve">, a specific type of transaction cost that can reduce parties’ incentives to make relationship-specific investments or to trade in the first place.  We argued that traditional contracts, made on paper and enforced with existing financial technology and litigation strategies, cannot provide the very high level of commitment necessary to limit the harms from </w:t>
      </w:r>
      <w:r w:rsidR="00485CB8">
        <w:t>hold-up</w:t>
      </w:r>
      <w:r>
        <w:t xml:space="preserve">.  Finally, we explained that smart contracts on blockchain networks have features that, when these technologies become widely deployed, may be able to provide a greater degree of commitment and thus additional protection against </w:t>
      </w:r>
      <w:r w:rsidR="00485CB8">
        <w:t>hold-up</w:t>
      </w:r>
      <w:r>
        <w:t>.</w:t>
      </w:r>
    </w:p>
    <w:p w14:paraId="3720F52C" w14:textId="1C3CB600" w:rsidR="00F2786F" w:rsidRDefault="006033DD" w:rsidP="00F2786F">
      <w:r>
        <w:t>We conclude by</w:t>
      </w:r>
      <w:r w:rsidR="00F2786F">
        <w:t xml:space="preserve"> </w:t>
      </w:r>
      <w:r>
        <w:t>considering</w:t>
      </w:r>
      <w:r w:rsidR="00F2786F">
        <w:t xml:space="preserve"> the implications of our argument for the size of firms</w:t>
      </w:r>
      <w:r>
        <w:t>, and</w:t>
      </w:r>
      <w:r w:rsidR="00F2786F">
        <w:t xml:space="preserve"> </w:t>
      </w:r>
      <w:r>
        <w:t>offer some thoughts</w:t>
      </w:r>
      <w:r w:rsidR="00F2786F">
        <w:t xml:space="preserve"> about the benefits of smart contracts and blockchain for contract law more generally.</w:t>
      </w:r>
    </w:p>
    <w:p w14:paraId="6A5974FA" w14:textId="77777777" w:rsidR="00EE0CFD" w:rsidRDefault="00EE0CFD" w:rsidP="00F2786F"/>
    <w:p w14:paraId="1AF7D43E" w14:textId="77777777" w:rsidR="00614A32" w:rsidRDefault="00614A32" w:rsidP="006968D7">
      <w:pPr>
        <w:pStyle w:val="Heading2"/>
        <w:numPr>
          <w:ilvl w:val="0"/>
          <w:numId w:val="21"/>
        </w:numPr>
      </w:pPr>
      <w:bookmarkStart w:id="53" w:name="_Toc508877644"/>
      <w:r>
        <w:t>Implications for size of firms</w:t>
      </w:r>
      <w:bookmarkEnd w:id="53"/>
    </w:p>
    <w:p w14:paraId="3CAFBB3B" w14:textId="5C227951" w:rsidR="00F2786F" w:rsidRDefault="00F2786F" w:rsidP="00F2786F">
      <w:r>
        <w:t>One implication of our claim is that blockchain and smart contracts have to the potential to increase the gains from</w:t>
      </w:r>
      <w:r w:rsidR="002E2A1B">
        <w:t>,</w:t>
      </w:r>
      <w:r>
        <w:t xml:space="preserve"> and thus amount of</w:t>
      </w:r>
      <w:r w:rsidR="002E2A1B">
        <w:t>,</w:t>
      </w:r>
      <w:r>
        <w:t xml:space="preserve"> relationship-specific investment and trade and thus total output that we observe in the economy.</w:t>
      </w:r>
      <w:r w:rsidR="00D4265A">
        <w:rPr>
          <w:rStyle w:val="FootnoteReference"/>
        </w:rPr>
        <w:footnoteReference w:id="142"/>
      </w:r>
      <w:r>
        <w:t xml:space="preserve">  The degree of benefit is proportional to the extent to which </w:t>
      </w:r>
      <w:r w:rsidR="00485CB8">
        <w:t>hold-up</w:t>
      </w:r>
      <w:r>
        <w:t xml:space="preserve"> is a drag on investment and trade.  In addition</w:t>
      </w:r>
      <w:r w:rsidR="002E2A1B">
        <w:t>,</w:t>
      </w:r>
      <w:r>
        <w:t xml:space="preserve"> we expect that blockchain should reduce the size of firms.  As blockchain increases the returns to market</w:t>
      </w:r>
      <w:r w:rsidR="002E2A1B">
        <w:t>-mediated</w:t>
      </w:r>
      <w:r>
        <w:t xml:space="preserve"> transactions, firms will move more transactions outside the firm to the market.  In this way, it functions much like prior technological innovations that increased counterparty trust and accountability.</w:t>
      </w:r>
      <w:r>
        <w:rPr>
          <w:rStyle w:val="FootnoteReference"/>
        </w:rPr>
        <w:footnoteReference w:id="143"/>
      </w:r>
      <w:r>
        <w:t xml:space="preserve">  Blockchain may also do this by reducing the role of trust intermediaries, such as banks, in the economy, though that is not a feature we emphasize in this paper.</w:t>
      </w:r>
      <w:r w:rsidR="00452D28">
        <w:rPr>
          <w:rStyle w:val="FootnoteReference"/>
        </w:rPr>
        <w:footnoteReference w:id="144"/>
      </w:r>
      <w:r>
        <w:t xml:space="preserve">  </w:t>
      </w:r>
    </w:p>
    <w:p w14:paraId="2A8924E7" w14:textId="77777777" w:rsidR="00EE0CFD" w:rsidRDefault="00EE0CFD" w:rsidP="00F2786F"/>
    <w:p w14:paraId="58916062" w14:textId="603CBA16" w:rsidR="00614A32" w:rsidRDefault="00614A32" w:rsidP="006968D7">
      <w:pPr>
        <w:pStyle w:val="Heading2"/>
        <w:numPr>
          <w:ilvl w:val="0"/>
          <w:numId w:val="22"/>
        </w:numPr>
      </w:pPr>
      <w:bookmarkStart w:id="54" w:name="_Toc508877645"/>
      <w:r>
        <w:t>Speculation about effects on contracting generally</w:t>
      </w:r>
      <w:bookmarkEnd w:id="54"/>
    </w:p>
    <w:p w14:paraId="3CAE964F" w14:textId="3BB9F9E2" w:rsidR="00F2786F" w:rsidRDefault="00F2786F" w:rsidP="00F2786F">
      <w:r>
        <w:t xml:space="preserve">While our focus has been smart contracts on the blockchain can tackle the problem of </w:t>
      </w:r>
      <w:r w:rsidR="00485CB8">
        <w:t>hold-up</w:t>
      </w:r>
      <w:r>
        <w:t xml:space="preserve"> in contracts, there may be other benefits of these technologies to contract law generally.  One that we think particularly important is that they may reduce the need for centralized entities, especially courts, to resolve contractual disputes.  We think this is possible through at least two channels.  First, as we explained in Section </w:t>
      </w:r>
      <w:r w:rsidR="002E2A1B">
        <w:t>V</w:t>
      </w:r>
      <w:r>
        <w:t xml:space="preserve">, smart contracts can reduce the need for court interpretation of contracts.  A smart contract script, like other computer code, does what it does.  The language compiler is the interpreter and it does not permit variation in interpretation.  Parties can tackle bugs in the code via simulation, but they get what the code does.  In some sense, the compiler is the ultimate </w:t>
      </w:r>
      <w:proofErr w:type="spellStart"/>
      <w:r>
        <w:t>textualist</w:t>
      </w:r>
      <w:proofErr w:type="spellEnd"/>
      <w:r>
        <w:t xml:space="preserve"> interpreter, with little regard for absurdities.  Parties do not have to use it, but they have the option to.  When they do, the role of courts will decline to a </w:t>
      </w:r>
      <w:r w:rsidR="002E2A1B">
        <w:t>greater or lesser</w:t>
      </w:r>
      <w:r>
        <w:t xml:space="preserve"> extent.   </w:t>
      </w:r>
    </w:p>
    <w:p w14:paraId="10C9204E" w14:textId="77777777" w:rsidR="00F2786F" w:rsidRDefault="00F2786F" w:rsidP="00F2786F">
      <w:r>
        <w:t>Second, blockchain networks may use their validation mechanism or their consensus rules to adjudicate smart contract disputes.  If a smart contract crashes because it is poorly written or if a party feels the counterparty somehow did not honor a smart contract,</w:t>
      </w:r>
      <w:r>
        <w:rPr>
          <w:rStyle w:val="FootnoteReference"/>
        </w:rPr>
        <w:footnoteReference w:id="145"/>
      </w:r>
      <w:r>
        <w:t xml:space="preserve"> the network can appoint a third party node on the network not just to witness the contract, but to adjudicate the dispute.  The idea would be that, just as the Bitcoin network replaced banks as the intermediary for payments, it can replace courts as arbiters of smart contract disputes.  </w:t>
      </w:r>
    </w:p>
    <w:p w14:paraId="0EE90E61" w14:textId="77777777" w:rsidR="00F2786F" w:rsidRDefault="00F2786F" w:rsidP="00F2786F">
      <w:r>
        <w:t>Of course</w:t>
      </w:r>
      <w:r w:rsidR="00C108F4">
        <w:t>,</w:t>
      </w:r>
      <w:r>
        <w:t xml:space="preserve"> the difficulty is that the work required to adjudicate smart contract disputes may not be as algorithmic as mediating transactions.  The latter require only that the third party verify the sender of money has enough money in its account (which is evident from the blockchain ledger up until the date of payment) and that the transfer to the receiver’s account is recorded in the updated blockchain ledge.  Resolving contract disputes requires, for example, determining what the parties would have scripted if </w:t>
      </w:r>
      <w:r>
        <w:lastRenderedPageBreak/>
        <w:t xml:space="preserve">they had considered the state in which the smart contract crashed.  This requires fact finding beyond the information already available on the blockchain.  </w:t>
      </w:r>
    </w:p>
    <w:p w14:paraId="612CFB40" w14:textId="37185224" w:rsidR="00F2786F" w:rsidRDefault="00F2786F" w:rsidP="00F2786F">
      <w:r>
        <w:t>It is not clear that other nodes, or even a consensus among nodes, is a good way to resolve the problems.  The cost of fact finding of the sort required for adjudication is greater than the cost of fact finding required to verify a payment.  The thir</w:t>
      </w:r>
      <w:r w:rsidR="002E2A1B">
        <w:t>d-</w:t>
      </w:r>
      <w:r>
        <w:t>party node has to be compensated for that higher cost, just as it is compensated for verifying transactions.  Moreover, the other nodes may not be well qualified to adjudicate disputes.  The idea of using blockchain is not entirely ludicrous, however.  Civil trials, including contract trials, in existing courts also impose great costs on parties.  Moreover, the may be tried to a jury, whi</w:t>
      </w:r>
      <w:r w:rsidR="009816DC">
        <w:t xml:space="preserve">ch also may not be qualified.  </w:t>
      </w:r>
    </w:p>
    <w:p w14:paraId="09FCF444" w14:textId="530816F0" w:rsidR="00614A32" w:rsidRDefault="00614A32" w:rsidP="00F2786F">
      <w:r>
        <w:t xml:space="preserve">Even if a blockchain-mediated peer-to-peer network does not displace courts, it may be able to complement courts in two ways.  First, it may help courts better identify majoritarian default rules.  The </w:t>
      </w:r>
      <w:proofErr w:type="gramStart"/>
      <w:r>
        <w:t>more smart</w:t>
      </w:r>
      <w:proofErr w:type="gramEnd"/>
      <w:r>
        <w:t xml:space="preserve"> contracts are written on the blockchain, the easier it would be for courts to determine true majoritarian default rules.  This is difficult now as selection into litigation determines what judges see</w:t>
      </w:r>
      <w:r>
        <w:rPr>
          <w:rStyle w:val="FootnoteReference"/>
        </w:rPr>
        <w:footnoteReference w:id="146"/>
      </w:r>
      <w:r>
        <w:t xml:space="preserve"> and general fact finding is limited or biased by the adversarial process.</w:t>
      </w:r>
      <w:r>
        <w:rPr>
          <w:rStyle w:val="FootnoteReference"/>
        </w:rPr>
        <w:footnoteReference w:id="147"/>
      </w:r>
      <w:r>
        <w:t xml:space="preserve">  As a result, there are reason to suspect that courts may not be filling in gaps in contracts with the right default rule.  But because contracts on the blockchain may be public, the court can directly query what most parties want in specific situations.</w:t>
      </w:r>
      <w:r>
        <w:rPr>
          <w:rStyle w:val="FootnoteReference"/>
        </w:rPr>
        <w:footnoteReference w:id="148"/>
      </w:r>
      <w:r>
        <w:t xml:space="preserve">  </w:t>
      </w:r>
    </w:p>
    <w:p w14:paraId="7864D7A4" w14:textId="29E532B0" w:rsidR="00614A32" w:rsidRDefault="00614A32" w:rsidP="00F2786F">
      <w:r>
        <w:t xml:space="preserve">Second, just as parties now can set the jurisdiction that will govern their contract disputes, smart contracts may even allow parties to specify which set of (scripted) default rules should govern the gaps in their contracts.  This process would be similar to the way in which people putting up intellectual property (IP) such as photos or images onto web might simply appeal to the Creative Common license to govern the usage of their IP.  </w:t>
      </w:r>
      <w:r w:rsidR="00EE0CFD">
        <w:t xml:space="preserve">This would lower the demand for courts, but in case disputes go to trial, it would help courts decide cases.  </w:t>
      </w:r>
    </w:p>
    <w:p w14:paraId="7EDE2046" w14:textId="77777777" w:rsidR="00EE0CFD" w:rsidRDefault="00EE0CFD" w:rsidP="00F2786F"/>
    <w:p w14:paraId="58D64D99" w14:textId="3546F97E" w:rsidR="00EE0CFD" w:rsidRPr="00F2786F" w:rsidRDefault="00EE0CFD" w:rsidP="006968D7">
      <w:pPr>
        <w:pStyle w:val="Heading2"/>
        <w:numPr>
          <w:ilvl w:val="0"/>
          <w:numId w:val="22"/>
        </w:numPr>
      </w:pPr>
      <w:bookmarkStart w:id="55" w:name="_Toc508877646"/>
      <w:r>
        <w:t>The importance of blockchain and smart contracts</w:t>
      </w:r>
      <w:bookmarkEnd w:id="55"/>
    </w:p>
    <w:p w14:paraId="11941661" w14:textId="4A17BB14" w:rsidR="0077712C" w:rsidRDefault="00EE0CFD">
      <w:r>
        <w:t>With many new technologies that come along, there are a wave of articles that claim the technology fundamentally changes law.  They risk creating what Judge Easterbrook called the law of the horse.</w:t>
      </w:r>
      <w:r w:rsidR="00CF1905">
        <w:rPr>
          <w:rStyle w:val="FootnoteReference"/>
        </w:rPr>
        <w:footnoteReference w:id="149"/>
      </w:r>
      <w:r>
        <w:t xml:space="preserve">  We do not yet think that blockchain and smart contracts will change contract law.  Rather, we think it may have a </w:t>
      </w:r>
      <w:r w:rsidR="00752C53">
        <w:t>measurable</w:t>
      </w:r>
      <w:r>
        <w:t xml:space="preserve"> impact on the sorts and amounts of contracts that can be written.  To justify our beliefs, we need only to point to the </w:t>
      </w:r>
      <w:r w:rsidR="00752C53">
        <w:t>substantial</w:t>
      </w:r>
      <w:r>
        <w:t xml:space="preserve"> amount of investment going into blockchain.  A large </w:t>
      </w:r>
      <w:r w:rsidR="00752C53">
        <w:t>fraction</w:t>
      </w:r>
      <w:r>
        <w:t xml:space="preserve"> of the largest banks</w:t>
      </w:r>
      <w:r w:rsidR="00CF1905">
        <w:t xml:space="preserve">, </w:t>
      </w:r>
      <w:r>
        <w:t>IT companies</w:t>
      </w:r>
      <w:r w:rsidR="00CF1905">
        <w:t>, and consulting firms</w:t>
      </w:r>
      <w:r>
        <w:t xml:space="preserve"> are investing in blockchain.</w:t>
      </w:r>
      <w:r w:rsidR="00752C53">
        <w:rPr>
          <w:rStyle w:val="FootnoteReference"/>
        </w:rPr>
        <w:footnoteReference w:id="150"/>
      </w:r>
      <w:r>
        <w:t xml:space="preserve">  </w:t>
      </w:r>
      <w:r w:rsidR="00CF1905">
        <w:t xml:space="preserve">The total </w:t>
      </w:r>
      <w:r w:rsidR="00CF1905">
        <w:lastRenderedPageBreak/>
        <w:t xml:space="preserve">number and value of transactions on the Bitcoin and </w:t>
      </w:r>
      <w:proofErr w:type="spellStart"/>
      <w:r w:rsidR="00CF1905">
        <w:t>Ethereum</w:t>
      </w:r>
      <w:proofErr w:type="spellEnd"/>
      <w:r w:rsidR="00CF1905">
        <w:t xml:space="preserve"> networks, while still far short of even </w:t>
      </w:r>
      <w:proofErr w:type="spellStart"/>
      <w:r w:rsidR="00CF1905">
        <w:t>Paypal</w:t>
      </w:r>
      <w:proofErr w:type="spellEnd"/>
      <w:r w:rsidR="00CF1905">
        <w:t>, are growing rapidly.</w:t>
      </w:r>
      <w:r w:rsidR="00CF1905">
        <w:rPr>
          <w:rStyle w:val="FootnoteReference"/>
        </w:rPr>
        <w:footnoteReference w:id="151"/>
      </w:r>
      <w:r w:rsidR="00CF1905">
        <w:t xml:space="preserve">  Finally, the total amount of money raised through Initial Coin Offerings (ICOs) exceeded the total amount of venture funding in the last quarter.</w:t>
      </w:r>
      <w:r w:rsidR="00CF1905">
        <w:rPr>
          <w:rStyle w:val="FootnoteReference"/>
        </w:rPr>
        <w:footnoteReference w:id="152"/>
      </w:r>
      <w:r w:rsidR="00CF1905">
        <w:t xml:space="preserve">  While we do not think there is enough data to conclude that blockchain will change the world, let alone law, we do think there is enough activity in the technology to begin considering </w:t>
      </w:r>
      <w:r w:rsidR="00752C53">
        <w:t xml:space="preserve">the </w:t>
      </w:r>
      <w:r w:rsidR="00CF1905">
        <w:t>legal implication</w:t>
      </w:r>
      <w:r w:rsidR="00752C53">
        <w:t>s of this technology</w:t>
      </w:r>
      <w:r w:rsidR="00CF1905">
        <w:t xml:space="preserve">, including, as we do in this article, how blockchain and smart contracts affect contracting.  </w:t>
      </w:r>
    </w:p>
    <w:p w14:paraId="792B3D55" w14:textId="77777777" w:rsidR="0077712C" w:rsidRDefault="0077712C"/>
    <w:p w14:paraId="0ADCEBA1" w14:textId="77777777" w:rsidR="00CB0C34" w:rsidRDefault="00CB0C34">
      <w:pPr>
        <w:rPr>
          <w:b/>
        </w:rPr>
      </w:pPr>
      <w:r>
        <w:br w:type="page"/>
      </w:r>
    </w:p>
    <w:p w14:paraId="58483BCE" w14:textId="277E4DE3" w:rsidR="00DB62D5" w:rsidRDefault="00DB62D5" w:rsidP="002E0E6B">
      <w:pPr>
        <w:pStyle w:val="Heading1"/>
        <w:numPr>
          <w:ilvl w:val="0"/>
          <w:numId w:val="0"/>
        </w:numPr>
      </w:pPr>
      <w:bookmarkStart w:id="56" w:name="_Toc508877647"/>
      <w:r>
        <w:lastRenderedPageBreak/>
        <w:t>APPENDIX</w:t>
      </w:r>
      <w:r w:rsidR="0027250A">
        <w:t xml:space="preserve"> I</w:t>
      </w:r>
      <w:r>
        <w:t>: ADDRESSING HOLD-UP WITH OPTIONS CONTRACTS (NOLDEKE AND SCHMIDT 1995)</w:t>
      </w:r>
      <w:bookmarkEnd w:id="56"/>
    </w:p>
    <w:p w14:paraId="5E244497" w14:textId="7D46C644" w:rsidR="00A12C16" w:rsidRDefault="00A12C16" w:rsidP="005007AA">
      <w:proofErr w:type="spellStart"/>
      <w:r>
        <w:t>Noldeke</w:t>
      </w:r>
      <w:proofErr w:type="spellEnd"/>
      <w:r>
        <w:t xml:space="preserve"> and Schmidt (1995) show that certain option contracts can also achieve the social optimum.</w:t>
      </w:r>
      <w:r w:rsidR="005007AA">
        <w:rPr>
          <w:rStyle w:val="FootnoteReference"/>
        </w:rPr>
        <w:footnoteReference w:id="153"/>
      </w:r>
      <w:r>
        <w:t xml:space="preserve"> Their reasoning is as follows.</w:t>
      </w:r>
      <w:r>
        <w:rPr>
          <w:rStyle w:val="FootnoteReference"/>
        </w:rPr>
        <w:footnoteReference w:id="154"/>
      </w:r>
    </w:p>
    <w:p w14:paraId="29F65BC4" w14:textId="07698CBB" w:rsidR="00A12C16" w:rsidRDefault="00A12C16" w:rsidP="005007AA">
      <w:r>
        <w:t xml:space="preserve">The first step is for the buyer and seller to design the renegotiation bargaining game. Here, </w:t>
      </w:r>
      <w:proofErr w:type="spellStart"/>
      <w:r>
        <w:t>Noldecke</w:t>
      </w:r>
      <w:proofErr w:type="spellEnd"/>
      <w:r>
        <w:t xml:space="preserve"> and Schmidt (1995) adopt the following formulation that was first cont</w:t>
      </w:r>
      <w:r w:rsidR="005007AA">
        <w:t>ained in Hart and Moore (1988).</w:t>
      </w:r>
      <w:r w:rsidR="00467614">
        <w:rPr>
          <w:rStyle w:val="FootnoteReference"/>
        </w:rPr>
        <w:footnoteReference w:id="155"/>
      </w:r>
    </w:p>
    <w:p w14:paraId="740ABB99" w14:textId="40EAB9EC" w:rsidR="00A12C16" w:rsidRDefault="00A12C16" w:rsidP="005007AA">
      <w:r>
        <w:t xml:space="preserve">After </w:t>
      </w:r>
      <m:oMath>
        <m:r>
          <w:rPr>
            <w:rFonts w:ascii="Cambria Math" w:hAnsi="Cambria Math"/>
          </w:rPr>
          <m:t>v</m:t>
        </m:r>
      </m:oMath>
      <w:r>
        <w:t xml:space="preserve"> and </w:t>
      </w:r>
      <m:oMath>
        <m:r>
          <w:rPr>
            <w:rFonts w:ascii="Cambria Math" w:hAnsi="Cambria Math"/>
          </w:rPr>
          <m:t>c</m:t>
        </m:r>
      </m:oMath>
      <w:r>
        <w:t xml:space="preserve"> have been realized, </w:t>
      </w:r>
      <w:r w:rsidR="00467614">
        <w:t xml:space="preserve">suppose </w:t>
      </w:r>
      <w:r>
        <w:t>the buyer and seller can simultaneously send each other new offers. Each offer (from each party) is a pair of prices: one if there is trade and one if there is no trade. Trade is assumed to be verifiable by a third party such as a court, and thus the specified payment can be enforced. Said payment is the default, unless one of the parties decides to furnish the court with the new offer from the other party. In equilibrium only two offers will be furnished: (</w:t>
      </w:r>
      <w:proofErr w:type="spellStart"/>
      <w:r>
        <w:t>i</w:t>
      </w:r>
      <w:proofErr w:type="spellEnd"/>
      <w:r>
        <w:t>) the seller accepting a higher price; or (ii) the buyer accept</w:t>
      </w:r>
      <w:r w:rsidR="005007AA">
        <w:t xml:space="preserve">ing a lower price. </w:t>
      </w:r>
    </w:p>
    <w:p w14:paraId="5B014FD5" w14:textId="4338E225" w:rsidR="00A12C16" w:rsidRDefault="00A12C16" w:rsidP="005007AA">
      <w:r>
        <w:t xml:space="preserve">Now, suppose the seller receives some default payment </w:t>
      </w:r>
      <m:oMath>
        <m:r>
          <w:rPr>
            <w:rFonts w:ascii="Cambria Math" w:hAnsi="Cambria Math"/>
          </w:rPr>
          <m:t>d</m:t>
        </m:r>
      </m:oMath>
      <w:r>
        <w:t xml:space="preserve"> if no trade occurs, but has the option to deliver the good to the buyer and receive an additional payment </w:t>
      </w:r>
      <m:oMath>
        <m:r>
          <w:rPr>
            <w:rFonts w:ascii="Cambria Math" w:hAnsi="Cambria Math"/>
          </w:rPr>
          <m:t>p</m:t>
        </m:r>
      </m:oMath>
      <w:r>
        <w:t xml:space="preserve">, so that the total transfer </w:t>
      </w:r>
      <m:oMath>
        <m:r>
          <w:rPr>
            <w:rFonts w:ascii="Cambria Math" w:hAnsi="Cambria Math"/>
          </w:rPr>
          <m:t>t=d+p</m:t>
        </m:r>
      </m:oMath>
      <w:r>
        <w:t>. The question is how renegotiation works. There are thr</w:t>
      </w:r>
      <w:r w:rsidR="005007AA">
        <w:t>ee different cases to consider.</w:t>
      </w:r>
    </w:p>
    <w:p w14:paraId="7E6651B1" w14:textId="393879B6" w:rsidR="00A12C16" w:rsidRDefault="00A12C16" w:rsidP="005007AA">
      <w:r>
        <w:t xml:space="preserve">First, suppose that </w:t>
      </w:r>
      <m:oMath>
        <m:r>
          <w:rPr>
            <w:rFonts w:ascii="Cambria Math" w:hAnsi="Cambria Math"/>
          </w:rPr>
          <m:t>p</m:t>
        </m:r>
      </m:oMath>
      <w:r>
        <w:t xml:space="preserve"> is less that “low </w:t>
      </w:r>
      <m:oMath>
        <m:r>
          <w:rPr>
            <w:rFonts w:ascii="Cambria Math" w:hAnsi="Cambria Math"/>
          </w:rPr>
          <m:t>c</m:t>
        </m:r>
      </m:oMath>
      <w:r>
        <w:t xml:space="preserve">”. If there is no renegotiation the clearly the seller does not want to trade because no matter what her production cost is she will receive less than that amount from the buyer. But if the buyer’s valuation is high and the seller’s cost is low then there are gains from trade, and thus renegotiation should occur. Raising </w:t>
      </w:r>
      <m:oMath>
        <m:r>
          <w:rPr>
            <w:rFonts w:ascii="Cambria Math" w:hAnsi="Cambria Math"/>
          </w:rPr>
          <m:t>p</m:t>
        </m:r>
      </m:oMath>
      <w:r>
        <w:t xml:space="preserve"> to “low </w:t>
      </w:r>
      <m:oMath>
        <m:r>
          <w:rPr>
            <w:rFonts w:ascii="Cambria Math" w:hAnsi="Cambria Math"/>
          </w:rPr>
          <m:t>c</m:t>
        </m:r>
      </m:oMath>
      <w:r>
        <w:t xml:space="preserve">” will be sufficient to do this, and the buyer does not need to go any higher. To see this, note that if the buyer furnishes a letter offering </w:t>
      </w:r>
      <m:oMath>
        <m:r>
          <w:rPr>
            <w:rFonts w:ascii="Cambria Math" w:hAnsi="Cambria Math"/>
          </w:rPr>
          <m:t>d+“low c”</m:t>
        </m:r>
      </m:oMath>
      <w:r>
        <w:t xml:space="preserve">, the seller will want to trade. Moreover, the buyer knows that the seller will want to deliver the letter to the third party/court. Since </w:t>
      </w:r>
      <m:oMath>
        <m:r>
          <w:rPr>
            <w:rFonts w:ascii="Cambria Math" w:hAnsi="Cambria Math"/>
          </w:rPr>
          <m:t>p</m:t>
        </m:r>
      </m:oMath>
      <w:r>
        <w:t xml:space="preserve"> is equal to “low </w:t>
      </w:r>
      <m:oMath>
        <m:r>
          <w:rPr>
            <w:rFonts w:ascii="Cambria Math" w:hAnsi="Cambria Math"/>
          </w:rPr>
          <m:t>c</m:t>
        </m:r>
      </m:oMath>
      <w:r>
        <w:t>”, the buyer extracts all the surplus, which is equivalent to saying that sh</w:t>
      </w:r>
      <w:r w:rsidR="005007AA">
        <w:t>e has all the bargaining power.</w:t>
      </w:r>
    </w:p>
    <w:p w14:paraId="0A6BF11A" w14:textId="25229382" w:rsidR="00A12C16" w:rsidRDefault="00A12C16" w:rsidP="005007AA">
      <w:r>
        <w:t xml:space="preserve">Second, suppose that </w:t>
      </w:r>
      <m:oMath>
        <m:r>
          <w:rPr>
            <w:rFonts w:ascii="Cambria Math" w:hAnsi="Cambria Math"/>
          </w:rPr>
          <m:t>p</m:t>
        </m:r>
      </m:oMath>
      <w:r>
        <w:t xml:space="preserve"> is between “low </w:t>
      </w:r>
      <m:oMath>
        <m:r>
          <w:rPr>
            <w:rFonts w:ascii="Cambria Math" w:hAnsi="Cambria Math"/>
          </w:rPr>
          <m:t>c</m:t>
        </m:r>
      </m:oMath>
      <w:r>
        <w:t xml:space="preserve">” and “high </w:t>
      </w:r>
      <m:oMath>
        <m:r>
          <w:rPr>
            <w:rFonts w:ascii="Cambria Math" w:hAnsi="Cambria Math"/>
          </w:rPr>
          <m:t>c</m:t>
        </m:r>
      </m:oMath>
      <w:r>
        <w:t>”. As before, the buyer can extract all the surplus from renegotiation by sending furnishing a letter agreeing to a higher pr</w:t>
      </w:r>
      <w:r w:rsidR="005007AA">
        <w:t>ice if there is no trade.</w:t>
      </w:r>
    </w:p>
    <w:p w14:paraId="6A0D3A39" w14:textId="0D86A7C0" w:rsidR="00A12C16" w:rsidRDefault="00A12C16" w:rsidP="005007AA">
      <w:r>
        <w:t xml:space="preserve">Third, suppose that </w:t>
      </w:r>
      <m:oMath>
        <m:r>
          <w:rPr>
            <w:rFonts w:ascii="Cambria Math" w:hAnsi="Cambria Math"/>
          </w:rPr>
          <m:t>p</m:t>
        </m:r>
      </m:oMath>
      <w:r>
        <w:t xml:space="preserve"> is greater than “high </w:t>
      </w:r>
      <m:oMath>
        <m:r>
          <w:rPr>
            <w:rFonts w:ascii="Cambria Math" w:hAnsi="Cambria Math"/>
          </w:rPr>
          <m:t>c</m:t>
        </m:r>
      </m:oMath>
      <w:r>
        <w:t>”. Now the seller always wants to trade. Again, the buyer can extract all the surplus from renegotiation by sending furnishing a letter agreeing to a higher price if there is no trade.</w:t>
      </w:r>
    </w:p>
    <w:p w14:paraId="71463925" w14:textId="77777777" w:rsidR="00430DE4" w:rsidRDefault="00A12C16">
      <w:r>
        <w:t>Taken together this means that the buyer has all the bargaining power and therefore has appropriate incentives to make the optimal level of investment.</w:t>
      </w:r>
    </w:p>
    <w:p w14:paraId="4F7E77FF" w14:textId="77777777" w:rsidR="00430DE4" w:rsidRDefault="00430DE4">
      <w:r>
        <w:br w:type="page"/>
      </w:r>
    </w:p>
    <w:p w14:paraId="62F8836A" w14:textId="061977D2" w:rsidR="00430DE4" w:rsidRDefault="00430DE4" w:rsidP="00430DE4">
      <w:pPr>
        <w:pStyle w:val="Heading1"/>
        <w:numPr>
          <w:ilvl w:val="0"/>
          <w:numId w:val="0"/>
        </w:numPr>
      </w:pPr>
      <w:bookmarkStart w:id="57" w:name="_Toc508877648"/>
      <w:r>
        <w:lastRenderedPageBreak/>
        <w:t>APPENDIX II: MOORE-REPULLO REVELATION MECHANISM.</w:t>
      </w:r>
      <w:bookmarkEnd w:id="57"/>
      <w:r>
        <w:t xml:space="preserve">  </w:t>
      </w:r>
    </w:p>
    <w:p w14:paraId="3D07AD05" w14:textId="3AD0DDCB" w:rsidR="00430DE4" w:rsidRPr="009520AF" w:rsidRDefault="00430DE4" w:rsidP="00430DE4">
      <w:r w:rsidRPr="009520AF">
        <w:t xml:space="preserve">Moore and </w:t>
      </w:r>
      <w:proofErr w:type="spellStart"/>
      <w:r w:rsidRPr="009520AF">
        <w:t>Repullo</w:t>
      </w:r>
      <w:proofErr w:type="spellEnd"/>
      <w:r w:rsidRPr="009520AF">
        <w:t xml:space="preserve"> (1988) </w:t>
      </w:r>
      <w:r>
        <w:t xml:space="preserve">present </w:t>
      </w:r>
      <w:r w:rsidRPr="009520AF">
        <w:t>a multi-stage mechanism</w:t>
      </w:r>
      <w:r>
        <w:t xml:space="preserve"> that permits </w:t>
      </w:r>
      <w:r w:rsidRPr="009520AF">
        <w:t>implement</w:t>
      </w:r>
      <w:r>
        <w:t>ation of</w:t>
      </w:r>
      <w:r w:rsidRPr="009520AF">
        <w:t xml:space="preserve"> any social objective</w:t>
      </w:r>
      <w:r>
        <w:t>, including truth telling,</w:t>
      </w:r>
      <w:r w:rsidRPr="009520AF">
        <w:t xml:space="preserve"> as the unique (subgame-perfect) equilibrium</w:t>
      </w:r>
      <w:r>
        <w:t xml:space="preserve"> of the game induced by that mechanism</w:t>
      </w:r>
      <w:r w:rsidRPr="009520AF">
        <w:t>.</w:t>
      </w:r>
      <w:r>
        <w:rPr>
          <w:rStyle w:val="FootnoteReference"/>
        </w:rPr>
        <w:footnoteReference w:id="156"/>
      </w:r>
      <w:r>
        <w:t xml:space="preserve">  </w:t>
      </w:r>
      <w:r w:rsidRPr="009520AF">
        <w:t xml:space="preserve">The following, based heavily on </w:t>
      </w:r>
      <w:proofErr w:type="spellStart"/>
      <w:r w:rsidRPr="009520AF">
        <w:t>Aghion</w:t>
      </w:r>
      <w:proofErr w:type="spellEnd"/>
      <w:r w:rsidRPr="009520AF">
        <w:t xml:space="preserve"> and Holden (2011),</w:t>
      </w:r>
      <w:r>
        <w:rPr>
          <w:rStyle w:val="FootnoteReference"/>
        </w:rPr>
        <w:footnoteReference w:id="157"/>
      </w:r>
      <w:r w:rsidRPr="009520AF">
        <w:t xml:space="preserve"> is an example of this kind of mechanism in the context of the Apple-Corning example we have been using.</w:t>
      </w:r>
    </w:p>
    <w:p w14:paraId="6A856B4F" w14:textId="77777777" w:rsidR="00430DE4" w:rsidRPr="009520AF" w:rsidRDefault="00430DE4" w:rsidP="00430DE4">
      <w:pPr>
        <w:pStyle w:val="ListParagraph"/>
        <w:numPr>
          <w:ilvl w:val="0"/>
          <w:numId w:val="7"/>
        </w:numPr>
        <w:spacing w:line="240" w:lineRule="auto"/>
        <w:contextualSpacing w:val="0"/>
        <w:jc w:val="both"/>
      </w:pPr>
      <w:r w:rsidRPr="009520AF">
        <w:t>A(</w:t>
      </w:r>
      <w:proofErr w:type="spellStart"/>
      <w:r w:rsidRPr="009520AF">
        <w:t>pple</w:t>
      </w:r>
      <w:proofErr w:type="spellEnd"/>
      <w:r w:rsidRPr="009520AF">
        <w:t xml:space="preserve">) announces either 40 or 32. If the announcement is 40 then A </w:t>
      </w:r>
      <w:proofErr w:type="gramStart"/>
      <w:r w:rsidRPr="009520AF">
        <w:t>pays</w:t>
      </w:r>
      <w:proofErr w:type="gramEnd"/>
      <w:r w:rsidRPr="009520AF">
        <w:t xml:space="preserve"> C(</w:t>
      </w:r>
      <w:proofErr w:type="spellStart"/>
      <w:r w:rsidRPr="009520AF">
        <w:t>orning</w:t>
      </w:r>
      <w:proofErr w:type="spellEnd"/>
      <w:r w:rsidRPr="009520AF">
        <w:t>) a price equal to 40 and the mechanism stops.</w:t>
      </w:r>
    </w:p>
    <w:p w14:paraId="1B72B561" w14:textId="77777777" w:rsidR="00430DE4" w:rsidRPr="009520AF" w:rsidRDefault="00430DE4" w:rsidP="00430DE4">
      <w:pPr>
        <w:pStyle w:val="ListParagraph"/>
        <w:numPr>
          <w:ilvl w:val="0"/>
          <w:numId w:val="7"/>
        </w:numPr>
        <w:spacing w:line="240" w:lineRule="auto"/>
        <w:contextualSpacing w:val="0"/>
        <w:jc w:val="both"/>
      </w:pPr>
      <w:r w:rsidRPr="009520AF">
        <w:t xml:space="preserve">If A announces “32” and C does not challenge A’s </w:t>
      </w:r>
      <w:proofErr w:type="gramStart"/>
      <w:r w:rsidRPr="009520AF">
        <w:t>announcement</w:t>
      </w:r>
      <w:proofErr w:type="gramEnd"/>
      <w:r w:rsidRPr="009520AF">
        <w:t xml:space="preserve"> then A pays a price of 32 and the mechanism stops.</w:t>
      </w:r>
    </w:p>
    <w:p w14:paraId="1AA5117F" w14:textId="77777777" w:rsidR="00430DE4" w:rsidRPr="009520AF" w:rsidRDefault="00430DE4" w:rsidP="00430DE4">
      <w:pPr>
        <w:pStyle w:val="ListParagraph"/>
        <w:numPr>
          <w:ilvl w:val="0"/>
          <w:numId w:val="7"/>
        </w:numPr>
        <w:spacing w:line="240" w:lineRule="auto"/>
        <w:contextualSpacing w:val="0"/>
        <w:jc w:val="both"/>
      </w:pPr>
      <w:r w:rsidRPr="009520AF">
        <w:t xml:space="preserve">If C </w:t>
      </w:r>
      <w:proofErr w:type="gramStart"/>
      <w:r w:rsidRPr="009520AF">
        <w:t>challenges</w:t>
      </w:r>
      <w:proofErr w:type="gramEnd"/>
      <w:r w:rsidRPr="009520AF">
        <w:t xml:space="preserve"> A’s announcement then</w:t>
      </w:r>
    </w:p>
    <w:p w14:paraId="499D0503" w14:textId="77777777" w:rsidR="00430DE4" w:rsidRPr="009520AF" w:rsidRDefault="00430DE4" w:rsidP="00430DE4">
      <w:pPr>
        <w:pStyle w:val="ListParagraph"/>
        <w:numPr>
          <w:ilvl w:val="1"/>
          <w:numId w:val="7"/>
        </w:numPr>
        <w:spacing w:line="240" w:lineRule="auto"/>
        <w:contextualSpacing w:val="0"/>
        <w:jc w:val="both"/>
      </w:pPr>
      <w:r w:rsidRPr="009520AF">
        <w:t xml:space="preserve">A pays a fine of 30 to a </w:t>
      </w:r>
      <w:proofErr w:type="gramStart"/>
      <w:r w:rsidRPr="009520AF">
        <w:t>T(</w:t>
      </w:r>
      <w:proofErr w:type="spellStart"/>
      <w:proofErr w:type="gramEnd"/>
      <w:r w:rsidRPr="009520AF">
        <w:t>hird</w:t>
      </w:r>
      <w:proofErr w:type="spellEnd"/>
      <w:r w:rsidRPr="009520AF">
        <w:t xml:space="preserve"> party)</w:t>
      </w:r>
    </w:p>
    <w:p w14:paraId="27D60FB2" w14:textId="77777777" w:rsidR="00430DE4" w:rsidRPr="009520AF" w:rsidRDefault="00430DE4" w:rsidP="00430DE4">
      <w:pPr>
        <w:pStyle w:val="ListParagraph"/>
        <w:numPr>
          <w:ilvl w:val="1"/>
          <w:numId w:val="7"/>
        </w:numPr>
        <w:spacing w:line="240" w:lineRule="auto"/>
        <w:contextualSpacing w:val="0"/>
        <w:jc w:val="both"/>
      </w:pPr>
      <w:r>
        <w:t>A is offered the glass for 2</w:t>
      </w:r>
      <w:r w:rsidRPr="009520AF">
        <w:t>2</w:t>
      </w:r>
    </w:p>
    <w:p w14:paraId="5A24DDB4" w14:textId="77777777" w:rsidR="00430DE4" w:rsidRPr="009520AF" w:rsidRDefault="00430DE4" w:rsidP="00430DE4">
      <w:pPr>
        <w:pStyle w:val="ListParagraph"/>
        <w:numPr>
          <w:ilvl w:val="1"/>
          <w:numId w:val="7"/>
        </w:numPr>
        <w:spacing w:line="240" w:lineRule="auto"/>
        <w:contextualSpacing w:val="0"/>
        <w:jc w:val="both"/>
      </w:pPr>
      <w:r w:rsidRPr="009520AF">
        <w:t>If A acce</w:t>
      </w:r>
      <w:r>
        <w:t>pts then C gets 30 from T (and 2</w:t>
      </w:r>
      <w:r w:rsidRPr="009520AF">
        <w:t>2 from A for the glass)</w:t>
      </w:r>
    </w:p>
    <w:p w14:paraId="535A2B84" w14:textId="77777777" w:rsidR="00430DE4" w:rsidRPr="009520AF" w:rsidRDefault="00430DE4" w:rsidP="00430DE4">
      <w:pPr>
        <w:pStyle w:val="ListParagraph"/>
        <w:numPr>
          <w:ilvl w:val="1"/>
          <w:numId w:val="7"/>
        </w:numPr>
        <w:spacing w:line="240" w:lineRule="auto"/>
        <w:contextualSpacing w:val="0"/>
        <w:jc w:val="both"/>
      </w:pPr>
      <w:r w:rsidRPr="009520AF">
        <w:t xml:space="preserve">If A rejects the </w:t>
      </w:r>
      <w:proofErr w:type="gramStart"/>
      <w:r w:rsidRPr="009520AF">
        <w:t>glass</w:t>
      </w:r>
      <w:proofErr w:type="gramEnd"/>
      <w:r w:rsidRPr="009520AF">
        <w:t xml:space="preserve"> then C pays 30 to T</w:t>
      </w:r>
    </w:p>
    <w:p w14:paraId="45443AB9" w14:textId="77777777" w:rsidR="00430DE4" w:rsidRPr="009520AF" w:rsidRDefault="00430DE4" w:rsidP="00430DE4">
      <w:pPr>
        <w:pStyle w:val="ListParagraph"/>
        <w:numPr>
          <w:ilvl w:val="1"/>
          <w:numId w:val="7"/>
        </w:numPr>
        <w:spacing w:line="240" w:lineRule="auto"/>
        <w:contextualSpacing w:val="0"/>
        <w:jc w:val="both"/>
      </w:pPr>
      <w:proofErr w:type="gramStart"/>
      <w:r w:rsidRPr="009520AF">
        <w:t>A</w:t>
      </w:r>
      <w:proofErr w:type="gramEnd"/>
      <w:r w:rsidRPr="009520AF">
        <w:t xml:space="preserve"> and C Nash bargain over the glass.</w:t>
      </w:r>
    </w:p>
    <w:p w14:paraId="21E2BAE8" w14:textId="45717BC5" w:rsidR="00DB62D5" w:rsidRDefault="00430DE4" w:rsidP="00430DE4">
      <w:pPr>
        <w:rPr>
          <w:b/>
        </w:rPr>
      </w:pPr>
      <w:r w:rsidRPr="009520AF">
        <w:t xml:space="preserve">We will not go through how to establish that truth-telling is the unique equilibrium here, but refer the interested reader to </w:t>
      </w:r>
      <w:proofErr w:type="spellStart"/>
      <w:r w:rsidRPr="009520AF">
        <w:t>Aghion</w:t>
      </w:r>
      <w:proofErr w:type="spellEnd"/>
      <w:r w:rsidRPr="009520AF">
        <w:t xml:space="preserve"> and Holden (2011) for the requisite logic</w:t>
      </w:r>
      <w:r>
        <w:t>, though</w:t>
      </w:r>
      <w:r w:rsidRPr="009520AF">
        <w:t xml:space="preserve"> </w:t>
      </w:r>
      <w:r>
        <w:t>with</w:t>
      </w:r>
      <w:r w:rsidRPr="009520AF">
        <w:t xml:space="preserve"> different numerical values.</w:t>
      </w:r>
      <w:bookmarkStart w:id="58" w:name="_Ref494640619"/>
      <w:r>
        <w:rPr>
          <w:rStyle w:val="FootnoteReference"/>
        </w:rPr>
        <w:footnoteReference w:id="158"/>
      </w:r>
      <w:bookmarkEnd w:id="58"/>
    </w:p>
    <w:sectPr w:rsidR="00DB62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5DBB" w14:textId="77777777" w:rsidR="00111AE5" w:rsidRDefault="00111AE5" w:rsidP="004F052B">
      <w:pPr>
        <w:spacing w:after="0" w:line="240" w:lineRule="auto"/>
      </w:pPr>
      <w:r>
        <w:separator/>
      </w:r>
    </w:p>
  </w:endnote>
  <w:endnote w:type="continuationSeparator" w:id="0">
    <w:p w14:paraId="3E20E8FB" w14:textId="77777777" w:rsidR="00111AE5" w:rsidRDefault="00111AE5" w:rsidP="004F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E818" w14:textId="77777777" w:rsidR="00430DE4" w:rsidRDefault="00430DE4" w:rsidP="002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8CA25" w14:textId="77777777" w:rsidR="00430DE4" w:rsidRDefault="00430D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8349" w14:textId="0AFA3148" w:rsidR="00430DE4" w:rsidRDefault="00430DE4" w:rsidP="002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880">
      <w:rPr>
        <w:rStyle w:val="PageNumber"/>
        <w:noProof/>
      </w:rPr>
      <w:t>20</w:t>
    </w:r>
    <w:r>
      <w:rPr>
        <w:rStyle w:val="PageNumber"/>
      </w:rPr>
      <w:fldChar w:fldCharType="end"/>
    </w:r>
  </w:p>
  <w:p w14:paraId="192D2C76" w14:textId="77777777" w:rsidR="00430DE4" w:rsidRDefault="00430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F97A" w14:textId="77777777" w:rsidR="00111AE5" w:rsidRDefault="00111AE5" w:rsidP="004F052B">
      <w:pPr>
        <w:spacing w:after="0" w:line="240" w:lineRule="auto"/>
      </w:pPr>
      <w:r>
        <w:separator/>
      </w:r>
    </w:p>
  </w:footnote>
  <w:footnote w:type="continuationSeparator" w:id="0">
    <w:p w14:paraId="6AD07A9A" w14:textId="77777777" w:rsidR="00111AE5" w:rsidRDefault="00111AE5" w:rsidP="004F052B">
      <w:pPr>
        <w:spacing w:after="0" w:line="240" w:lineRule="auto"/>
      </w:pPr>
      <w:r>
        <w:continuationSeparator/>
      </w:r>
    </w:p>
  </w:footnote>
  <w:footnote w:id="1">
    <w:p w14:paraId="64F46B43" w14:textId="0761B769" w:rsidR="00430DE4" w:rsidRDefault="00430DE4">
      <w:pPr>
        <w:pStyle w:val="FootnoteText"/>
      </w:pPr>
      <w:r>
        <w:rPr>
          <w:rStyle w:val="FootnoteReference"/>
        </w:rPr>
        <w:footnoteRef/>
      </w:r>
      <w:r>
        <w:t xml:space="preserve"> Professor of Economics, UNSW Business School, and NBER; Professor of Law, University of Chicago Law School, and NBER.  We thank Ilya Beylin, Anthony Casey, Stacy Rosenbaum, Pat Ward, and Massimo Young for comments. </w:t>
      </w:r>
    </w:p>
  </w:footnote>
  <w:footnote w:id="2">
    <w:p w14:paraId="25B56836" w14:textId="351B5195" w:rsidR="00430DE4" w:rsidRDefault="00430DE4">
      <w:pPr>
        <w:pStyle w:val="FootnoteText"/>
      </w:pPr>
      <w:r>
        <w:rPr>
          <w:rStyle w:val="FootnoteReference"/>
        </w:rPr>
        <w:footnoteRef/>
      </w:r>
      <w:r>
        <w:t xml:space="preserve"> See </w:t>
      </w:r>
      <w:r w:rsidRPr="00EB29AA">
        <w:t xml:space="preserve">J. </w:t>
      </w:r>
      <w:r>
        <w:t xml:space="preserve">White </w:t>
      </w:r>
      <w:r w:rsidRPr="00EB29AA">
        <w:t xml:space="preserve">&amp; R. </w:t>
      </w:r>
      <w:r>
        <w:t>Summers</w:t>
      </w:r>
      <w:r w:rsidRPr="00EB29AA">
        <w:t xml:space="preserve">, UNIFORM COMMERCIAL CODE </w:t>
      </w:r>
      <w:r>
        <w:t xml:space="preserve">§ </w:t>
      </w:r>
      <w:r w:rsidRPr="00EB29AA">
        <w:t>1-6, at 54 (3d ed. 1988</w:t>
      </w:r>
      <w:r>
        <w:t xml:space="preserve">); </w:t>
      </w:r>
      <w:r w:rsidRPr="006968D7">
        <w:t>Daniel A. Graham and Ellen R. Peirce</w:t>
      </w:r>
      <w:r>
        <w:t xml:space="preserve">, </w:t>
      </w:r>
      <w:r w:rsidRPr="006968D7">
        <w:t>Contract Modification: An Economic Analysis of the Hold-up Game</w:t>
      </w:r>
      <w:r>
        <w:t xml:space="preserve">, 52 </w:t>
      </w:r>
      <w:r w:rsidRPr="006968D7">
        <w:t xml:space="preserve">LAW </w:t>
      </w:r>
      <w:r>
        <w:t xml:space="preserve">&amp; </w:t>
      </w:r>
      <w:r w:rsidRPr="006968D7">
        <w:t>CONTEMP</w:t>
      </w:r>
      <w:r>
        <w:t>.</w:t>
      </w:r>
      <w:r w:rsidRPr="006968D7">
        <w:t xml:space="preserve"> PROB</w:t>
      </w:r>
      <w:r>
        <w:t xml:space="preserve">. 9, 14 (1989).  </w:t>
      </w:r>
    </w:p>
  </w:footnote>
  <w:footnote w:id="3">
    <w:p w14:paraId="1AF0ED59" w14:textId="17D5810F" w:rsidR="00430DE4" w:rsidRDefault="00430DE4" w:rsidP="00E23B96">
      <w:pPr>
        <w:pStyle w:val="FootnoteText"/>
      </w:pPr>
      <w:r>
        <w:rPr>
          <w:rStyle w:val="FootnoteReference"/>
        </w:rPr>
        <w:footnoteRef/>
      </w:r>
      <w:r>
        <w:t xml:space="preserve"> See, </w:t>
      </w:r>
      <w:r w:rsidRPr="00062F44">
        <w:rPr>
          <w:i/>
        </w:rPr>
        <w:t>e.g.</w:t>
      </w:r>
      <w:r>
        <w:t xml:space="preserve">, </w:t>
      </w:r>
      <w:r w:rsidRPr="00E23B96">
        <w:rPr>
          <w:i/>
        </w:rPr>
        <w:t xml:space="preserve">Watkins &amp; Son v. </w:t>
      </w:r>
      <w:proofErr w:type="spellStart"/>
      <w:r w:rsidRPr="00E23B96">
        <w:rPr>
          <w:i/>
        </w:rPr>
        <w:t>Carrig</w:t>
      </w:r>
      <w:proofErr w:type="spellEnd"/>
      <w:r>
        <w:t xml:space="preserve">, 21 A.2d 591 (N.H. 1941) (upholding modification because contractor hired to excavate a cellar unexpectedly encountered rock); </w:t>
      </w:r>
      <w:r w:rsidRPr="00E23B96">
        <w:rPr>
          <w:i/>
        </w:rPr>
        <w:t>Angel v. Murray</w:t>
      </w:r>
      <w:r>
        <w:t xml:space="preserve">, 322 A.2d 630 (R.I. 1974) (enforcing a modification because there was an unanticipated, substantial increase in the contractor’s costs).  </w:t>
      </w:r>
    </w:p>
  </w:footnote>
  <w:footnote w:id="4">
    <w:p w14:paraId="21A8EEBA" w14:textId="1971F2B5" w:rsidR="00430DE4" w:rsidRDefault="00430DE4" w:rsidP="00053FB6">
      <w:pPr>
        <w:pStyle w:val="FootnoteText"/>
      </w:pPr>
      <w:r>
        <w:rPr>
          <w:rStyle w:val="FootnoteReference"/>
        </w:rPr>
        <w:footnoteRef/>
      </w:r>
      <w:r>
        <w:t xml:space="preserve"> </w:t>
      </w:r>
      <w:r w:rsidRPr="00EA1D4B">
        <w:t xml:space="preserve">See also </w:t>
      </w:r>
      <w:r>
        <w:t>Oliver Williamson, MARKETS AND HIERARCHIES: ANALYSIS AND ANTITRUST IMPLICATIONS</w:t>
      </w:r>
    </w:p>
    <w:p w14:paraId="75CAD1D5" w14:textId="55ACA0FD" w:rsidR="00430DE4" w:rsidRDefault="00430DE4" w:rsidP="00053FB6">
      <w:pPr>
        <w:pStyle w:val="FootnoteText"/>
      </w:pPr>
      <w:r>
        <w:t>9–10, 26–28 (Free Press 1975)</w:t>
      </w:r>
      <w:r w:rsidRPr="00EA1D4B">
        <w:t xml:space="preserve">, </w:t>
      </w:r>
      <w:r w:rsidRPr="00426EC8">
        <w:t>Victor P. Goldberg, Regulation and Administered Contr</w:t>
      </w:r>
      <w:r>
        <w:t>acts, 7 BELL J. ECON. &amp; MANAGE</w:t>
      </w:r>
      <w:r w:rsidRPr="00426EC8">
        <w:t>MENT SCI. 426, 439-41 (1976)</w:t>
      </w:r>
      <w:r>
        <w:t xml:space="preserve">, </w:t>
      </w:r>
      <w:r w:rsidRPr="00EA1D4B">
        <w:t xml:space="preserve">and Benjamin Klein, </w:t>
      </w:r>
      <w:proofErr w:type="gramStart"/>
      <w:r w:rsidRPr="00950A42">
        <w:rPr>
          <w:i/>
        </w:rPr>
        <w:t xml:space="preserve">et al. </w:t>
      </w:r>
      <w:r w:rsidRPr="00EA1D4B">
        <w:t>,</w:t>
      </w:r>
      <w:proofErr w:type="gramEnd"/>
      <w:r w:rsidRPr="00EA1D4B">
        <w:t xml:space="preserve"> Vertical Integration, Appropriable Rents, and the Competitive Contracting Process, 21 J</w:t>
      </w:r>
      <w:r>
        <w:t>.</w:t>
      </w:r>
      <w:r w:rsidRPr="00EA1D4B">
        <w:t xml:space="preserve"> OF LAW &amp; ECON</w:t>
      </w:r>
      <w:r>
        <w:t>.</w:t>
      </w:r>
      <w:r w:rsidRPr="00EA1D4B">
        <w:t xml:space="preserve"> </w:t>
      </w:r>
      <w:r>
        <w:t>302</w:t>
      </w:r>
      <w:r w:rsidRPr="00EA1D4B">
        <w:t xml:space="preserve"> (1978), for non-formal discussions of the </w:t>
      </w:r>
      <w:r w:rsidR="00485CB8">
        <w:t>hold-up</w:t>
      </w:r>
      <w:r w:rsidRPr="00EA1D4B">
        <w:t xml:space="preserve"> problem.</w:t>
      </w:r>
      <w:r>
        <w:t xml:space="preserve"> See also </w:t>
      </w:r>
      <w:r w:rsidRPr="00DF3E6C">
        <w:t xml:space="preserve">Philippe </w:t>
      </w:r>
      <w:proofErr w:type="spellStart"/>
      <w:r w:rsidRPr="00DF3E6C">
        <w:t>Aghion</w:t>
      </w:r>
      <w:proofErr w:type="spellEnd"/>
      <w:r w:rsidRPr="00DF3E6C">
        <w:t xml:space="preserve">, </w:t>
      </w:r>
      <w:proofErr w:type="gramStart"/>
      <w:r w:rsidRPr="00950A42">
        <w:rPr>
          <w:i/>
        </w:rPr>
        <w:t xml:space="preserve">et al. </w:t>
      </w:r>
      <w:r w:rsidRPr="00DF3E6C">
        <w:t>,</w:t>
      </w:r>
      <w:proofErr w:type="gramEnd"/>
      <w:r w:rsidRPr="00DF3E6C">
        <w:t xml:space="preserve"> Renegotiation Design with Unverifiable Information, 62 ECONOMETRICA </w:t>
      </w:r>
      <w:r>
        <w:t xml:space="preserve">257, 259 </w:t>
      </w:r>
      <w:r w:rsidRPr="00DF3E6C">
        <w:t>(1994)</w:t>
      </w:r>
      <w:r>
        <w:t xml:space="preserve"> (presenting an early formal description of the model in the text), </w:t>
      </w:r>
      <w:r w:rsidRPr="00D1114D">
        <w:t xml:space="preserve">Bengt </w:t>
      </w:r>
      <w:proofErr w:type="spellStart"/>
      <w:r w:rsidRPr="00D1114D">
        <w:t>Holmstrom</w:t>
      </w:r>
      <w:proofErr w:type="spellEnd"/>
      <w:r w:rsidRPr="00D1114D">
        <w:t>, Moral Hazard in Teams, 13 THE B</w:t>
      </w:r>
      <w:r>
        <w:t xml:space="preserve">ELL J. OF ECON. 324, 326 (1982) (presenting a more general version of the problem), and </w:t>
      </w:r>
      <w:r w:rsidRPr="00EA230D">
        <w:t xml:space="preserve">Oliver Hart &amp; John Moore, Incomplete Contracts and Renegotiation, 56 ECONOMETRICA </w:t>
      </w:r>
      <w:r>
        <w:t xml:space="preserve">755, 757 </w:t>
      </w:r>
      <w:r w:rsidRPr="00EA230D">
        <w:t>(1988)</w:t>
      </w:r>
      <w:r>
        <w:t xml:space="preserve"> (presenting a simpler formal description of the problem wherein only one party makes a relationship-specific investment).    </w:t>
      </w:r>
    </w:p>
  </w:footnote>
  <w:footnote w:id="5">
    <w:p w14:paraId="7902FF7D" w14:textId="0AA7BC41" w:rsidR="00430DE4" w:rsidRDefault="00430DE4">
      <w:pPr>
        <w:pStyle w:val="FootnoteText"/>
      </w:pPr>
      <w:r>
        <w:rPr>
          <w:rStyle w:val="FootnoteReference"/>
        </w:rPr>
        <w:footnoteRef/>
      </w:r>
      <w:r>
        <w:t xml:space="preserve">  As a result, the party making such an investment may not recoup full value of her investment if the relationship comes to an end and she tries to market the investment to a third party.</w:t>
      </w:r>
    </w:p>
  </w:footnote>
  <w:footnote w:id="6">
    <w:p w14:paraId="6CF0DD03" w14:textId="7BE6EDC3" w:rsidR="00430DE4" w:rsidRDefault="00430DE4">
      <w:pPr>
        <w:pStyle w:val="FootnoteText"/>
      </w:pPr>
      <w:r>
        <w:rPr>
          <w:rStyle w:val="FootnoteReference"/>
        </w:rPr>
        <w:footnoteRef/>
      </w:r>
      <w:r>
        <w:t xml:space="preserve"> See 1A A. Corbin, CORBIN ON CONTRACTS § 171, at 105 (1963).</w:t>
      </w:r>
    </w:p>
  </w:footnote>
  <w:footnote w:id="7">
    <w:p w14:paraId="72DD61FE" w14:textId="53E4CF8C" w:rsidR="00430DE4" w:rsidRDefault="00430DE4" w:rsidP="007A23DF">
      <w:pPr>
        <w:pStyle w:val="FootnoteText"/>
      </w:pPr>
      <w:r>
        <w:rPr>
          <w:rStyle w:val="FootnoteReference"/>
        </w:rPr>
        <w:footnoteRef/>
      </w:r>
      <w:r>
        <w:t xml:space="preserve"> See Williamson, </w:t>
      </w:r>
      <w:r w:rsidRPr="00062F44">
        <w:rPr>
          <w:i/>
        </w:rPr>
        <w:t xml:space="preserve">supra </w:t>
      </w:r>
      <w:r>
        <w:t xml:space="preserve">note </w:t>
      </w:r>
      <w:r>
        <w:fldChar w:fldCharType="begin"/>
      </w:r>
      <w:r>
        <w:instrText xml:space="preserve"> NOTEREF _Ref507753680 \h </w:instrText>
      </w:r>
      <w:r>
        <w:fldChar w:fldCharType="separate"/>
      </w:r>
      <w:r>
        <w:t>4</w:t>
      </w:r>
      <w:r>
        <w:fldChar w:fldCharType="end"/>
      </w:r>
      <w:r>
        <w:t xml:space="preserve">, at 9–10, 26–28 (describing hold-up as a form of transaction cost that reduces investment and gains from trade).  More generally, see Steven </w:t>
      </w:r>
      <w:proofErr w:type="spellStart"/>
      <w:r>
        <w:t>Shavell</w:t>
      </w:r>
      <w:proofErr w:type="spellEnd"/>
      <w:r>
        <w:t xml:space="preserve">, Contractual </w:t>
      </w:r>
      <w:r w:rsidR="00485CB8">
        <w:t>Hold-up</w:t>
      </w:r>
      <w:r>
        <w:t xml:space="preserve"> and Legal Intervention, 36 J. LEG. STUD. 325, 326 (2007) (noting that </w:t>
      </w:r>
      <w:r w:rsidR="00485CB8">
        <w:t>hold-up</w:t>
      </w:r>
      <w:r>
        <w:t xml:space="preserve"> not only reduces investment, it can also lead to wasteful rent-seeking by the holding-up party and inefficient precautions by the potentially held-up party).</w:t>
      </w:r>
    </w:p>
  </w:footnote>
  <w:footnote w:id="8">
    <w:p w14:paraId="7293D5E8" w14:textId="6E3CFF43" w:rsidR="00430DE4" w:rsidRDefault="00430DE4">
      <w:pPr>
        <w:pStyle w:val="FootnoteText"/>
      </w:pPr>
      <w:r>
        <w:rPr>
          <w:rStyle w:val="FootnoteReference"/>
        </w:rPr>
        <w:footnoteRef/>
      </w:r>
      <w:r>
        <w:t xml:space="preserve"> See Graham &amp; Pierce, </w:t>
      </w:r>
      <w:r w:rsidRPr="006968D7">
        <w:rPr>
          <w:i/>
        </w:rPr>
        <w:t>supra</w:t>
      </w:r>
      <w:r>
        <w:t xml:space="preserve"> note </w:t>
      </w:r>
      <w:r>
        <w:fldChar w:fldCharType="begin"/>
      </w:r>
      <w:r>
        <w:instrText xml:space="preserve"> NOTEREF _Ref508808929 \h </w:instrText>
      </w:r>
      <w:r>
        <w:fldChar w:fldCharType="separate"/>
      </w:r>
      <w:r>
        <w:t>2</w:t>
      </w:r>
      <w:r>
        <w:fldChar w:fldCharType="end"/>
      </w:r>
      <w:r>
        <w:t>, at 10.</w:t>
      </w:r>
    </w:p>
  </w:footnote>
  <w:footnote w:id="9">
    <w:p w14:paraId="5A2B1BFC" w14:textId="3FD94CB5" w:rsidR="00430DE4" w:rsidRDefault="00430DE4" w:rsidP="00D95F42">
      <w:pPr>
        <w:pStyle w:val="FootnoteText"/>
      </w:pPr>
      <w:r>
        <w:rPr>
          <w:rStyle w:val="FootnoteReference"/>
        </w:rPr>
        <w:footnoteRef/>
      </w:r>
      <w:r>
        <w:t xml:space="preserve"> See, </w:t>
      </w:r>
      <w:r w:rsidRPr="00062F44">
        <w:rPr>
          <w:i/>
        </w:rPr>
        <w:t>e.g.</w:t>
      </w:r>
      <w:r>
        <w:t xml:space="preserve">, Richard A. Posner, Gratuitous Promises in Economics and Law 46, in 56 THE ECONOMICS OF CONTRACT LAW (Anthony T. </w:t>
      </w:r>
      <w:proofErr w:type="spellStart"/>
      <w:r>
        <w:t>Kronman</w:t>
      </w:r>
      <w:proofErr w:type="spellEnd"/>
      <w:r>
        <w:t xml:space="preserve"> &amp; Richard A. Posner, eds. 1979); Marvin A. </w:t>
      </w:r>
      <w:proofErr w:type="spellStart"/>
      <w:r>
        <w:t>Chirelstein</w:t>
      </w:r>
      <w:proofErr w:type="spellEnd"/>
      <w:r>
        <w:t xml:space="preserve">, CONCEPTS AND CASE ANALYSIS IN THE LAW OF CONTRACTS 65 (3d ed. 1998); Mary Lou </w:t>
      </w:r>
      <w:proofErr w:type="spellStart"/>
      <w:r>
        <w:t>Serafine</w:t>
      </w:r>
      <w:proofErr w:type="spellEnd"/>
      <w:r>
        <w:t>, Note, Repudiated Compromise after Breach,</w:t>
      </w:r>
    </w:p>
    <w:p w14:paraId="33FE1624" w14:textId="6CA0A218" w:rsidR="00430DE4" w:rsidRDefault="00430DE4" w:rsidP="00D95F42">
      <w:pPr>
        <w:pStyle w:val="FootnoteText"/>
      </w:pPr>
      <w:r>
        <w:t>100 YALE L. J. 2229 (1991).</w:t>
      </w:r>
    </w:p>
  </w:footnote>
  <w:footnote w:id="10">
    <w:p w14:paraId="6743C2FB" w14:textId="707E66EE" w:rsidR="00430DE4" w:rsidRDefault="00430DE4">
      <w:pPr>
        <w:pStyle w:val="FootnoteText"/>
      </w:pPr>
      <w:r>
        <w:rPr>
          <w:rStyle w:val="FootnoteReference"/>
        </w:rPr>
        <w:footnoteRef/>
      </w:r>
      <w:r>
        <w:t xml:space="preserve"> See Patrick Bolton and Mathias </w:t>
      </w:r>
      <w:proofErr w:type="spellStart"/>
      <w:r>
        <w:t>Dewatripont</w:t>
      </w:r>
      <w:proofErr w:type="spellEnd"/>
      <w:r>
        <w:t xml:space="preserve">, </w:t>
      </w:r>
      <w:r w:rsidRPr="00EC0807">
        <w:t>CONTRACT THEORY</w:t>
      </w:r>
      <w:r>
        <w:t xml:space="preserve"> chapters 11-12 (MIT 2005).</w:t>
      </w:r>
    </w:p>
  </w:footnote>
  <w:footnote w:id="11">
    <w:p w14:paraId="1ACE9728" w14:textId="3A129E82" w:rsidR="00430DE4" w:rsidRDefault="00430DE4" w:rsidP="00D95F42">
      <w:pPr>
        <w:pStyle w:val="FootnoteText"/>
      </w:pPr>
      <w:r>
        <w:rPr>
          <w:rStyle w:val="FootnoteReference"/>
        </w:rPr>
        <w:footnoteRef/>
      </w:r>
      <w:r>
        <w:t xml:space="preserve"> </w:t>
      </w:r>
      <w:r w:rsidRPr="007766A1">
        <w:rPr>
          <w:i/>
        </w:rPr>
        <w:t xml:space="preserve">Alaska Packers' </w:t>
      </w:r>
      <w:proofErr w:type="spellStart"/>
      <w:r w:rsidRPr="007766A1">
        <w:rPr>
          <w:i/>
        </w:rPr>
        <w:t>Ass'n</w:t>
      </w:r>
      <w:proofErr w:type="spellEnd"/>
      <w:r w:rsidRPr="007766A1">
        <w:rPr>
          <w:i/>
        </w:rPr>
        <w:t xml:space="preserve"> v. Domenico</w:t>
      </w:r>
      <w:r w:rsidRPr="00C734A3">
        <w:t xml:space="preserve">, 117 </w:t>
      </w:r>
      <w:r>
        <w:t>F.</w:t>
      </w:r>
      <w:r w:rsidRPr="00C734A3">
        <w:t xml:space="preserve"> 99</w:t>
      </w:r>
      <w:r>
        <w:t xml:space="preserve"> (9</w:t>
      </w:r>
      <w:r w:rsidRPr="00C734A3">
        <w:rPr>
          <w:vertAlign w:val="superscript"/>
        </w:rPr>
        <w:t>th</w:t>
      </w:r>
      <w:r>
        <w:t xml:space="preserve"> Cir. 1902), reversing </w:t>
      </w:r>
      <w:r w:rsidRPr="006968D7">
        <w:rPr>
          <w:i/>
        </w:rPr>
        <w:t>Domenico v. Alaska</w:t>
      </w:r>
      <w:r>
        <w:rPr>
          <w:i/>
        </w:rPr>
        <w:t xml:space="preserve"> </w:t>
      </w:r>
      <w:r w:rsidRPr="006968D7">
        <w:rPr>
          <w:i/>
        </w:rPr>
        <w:t xml:space="preserve">Packers' </w:t>
      </w:r>
      <w:proofErr w:type="spellStart"/>
      <w:r w:rsidRPr="006968D7">
        <w:rPr>
          <w:i/>
        </w:rPr>
        <w:t>Ass'n</w:t>
      </w:r>
      <w:proofErr w:type="spellEnd"/>
      <w:r>
        <w:t>, 112 F. 554 (N. D. Cal. 1901)</w:t>
      </w:r>
      <w:r w:rsidRPr="00C734A3">
        <w:t>.</w:t>
      </w:r>
    </w:p>
  </w:footnote>
  <w:footnote w:id="12">
    <w:p w14:paraId="1F654D10" w14:textId="6F0095FA" w:rsidR="00430DE4" w:rsidRDefault="00430DE4">
      <w:pPr>
        <w:pStyle w:val="FootnoteText"/>
      </w:pPr>
      <w:r>
        <w:rPr>
          <w:rStyle w:val="FootnoteReference"/>
        </w:rPr>
        <w:footnoteRef/>
      </w:r>
      <w:r>
        <w:t xml:space="preserve"> </w:t>
      </w:r>
      <w:r w:rsidRPr="00A06C17">
        <w:rPr>
          <w:i/>
        </w:rPr>
        <w:t xml:space="preserve">Alaska Packers' </w:t>
      </w:r>
      <w:proofErr w:type="spellStart"/>
      <w:r w:rsidRPr="00A06C17">
        <w:rPr>
          <w:i/>
        </w:rPr>
        <w:t>Ass'n</w:t>
      </w:r>
      <w:proofErr w:type="spellEnd"/>
      <w:r w:rsidRPr="00A06C17">
        <w:t xml:space="preserve">, 112 </w:t>
      </w:r>
      <w:r>
        <w:t>F.</w:t>
      </w:r>
      <w:r w:rsidRPr="00A06C17">
        <w:t xml:space="preserve"> </w:t>
      </w:r>
      <w:r>
        <w:t xml:space="preserve">at </w:t>
      </w:r>
      <w:r w:rsidRPr="00A06C17">
        <w:t>55</w:t>
      </w:r>
      <w:r>
        <w:t>5.</w:t>
      </w:r>
    </w:p>
  </w:footnote>
  <w:footnote w:id="13">
    <w:p w14:paraId="1FF70895" w14:textId="37FB1FFC" w:rsidR="00430DE4" w:rsidRDefault="00430DE4">
      <w:pPr>
        <w:pStyle w:val="FootnoteText"/>
      </w:pPr>
      <w:r>
        <w:rPr>
          <w:rStyle w:val="FootnoteReference"/>
        </w:rPr>
        <w:footnoteRef/>
      </w:r>
      <w:r>
        <w:t xml:space="preserve"> </w:t>
      </w:r>
      <w:r w:rsidRPr="00062F44">
        <w:rPr>
          <w:i/>
        </w:rPr>
        <w:t>Id.</w:t>
      </w:r>
    </w:p>
  </w:footnote>
  <w:footnote w:id="14">
    <w:p w14:paraId="6D0EF1A1" w14:textId="634E8F97" w:rsidR="00430DE4" w:rsidRDefault="00430DE4">
      <w:pPr>
        <w:pStyle w:val="FootnoteText"/>
      </w:pPr>
      <w:r>
        <w:rPr>
          <w:rStyle w:val="FootnoteReference"/>
        </w:rPr>
        <w:footnoteRef/>
      </w:r>
      <w:r>
        <w:t xml:space="preserve"> </w:t>
      </w:r>
      <w:r w:rsidRPr="007766A1">
        <w:rPr>
          <w:i/>
        </w:rPr>
        <w:t xml:space="preserve">Alaska Packers' </w:t>
      </w:r>
      <w:proofErr w:type="spellStart"/>
      <w:r w:rsidRPr="007766A1">
        <w:rPr>
          <w:i/>
        </w:rPr>
        <w:t>Ass'n</w:t>
      </w:r>
      <w:proofErr w:type="spellEnd"/>
      <w:r w:rsidRPr="00C734A3">
        <w:t xml:space="preserve">, 117 </w:t>
      </w:r>
      <w:r>
        <w:t>F.</w:t>
      </w:r>
      <w:r w:rsidRPr="00C734A3">
        <w:t xml:space="preserve"> </w:t>
      </w:r>
      <w:r>
        <w:t xml:space="preserve">at 102. </w:t>
      </w:r>
    </w:p>
  </w:footnote>
  <w:footnote w:id="15">
    <w:p w14:paraId="3122AA23" w14:textId="3DB31C82" w:rsidR="00430DE4" w:rsidRDefault="00430DE4">
      <w:pPr>
        <w:pStyle w:val="FootnoteText"/>
      </w:pPr>
      <w:r>
        <w:rPr>
          <w:rStyle w:val="FootnoteReference"/>
        </w:rPr>
        <w:footnoteRef/>
      </w:r>
      <w:r>
        <w:t xml:space="preserve"> Debora L. </w:t>
      </w:r>
      <w:proofErr w:type="spellStart"/>
      <w:r>
        <w:t>Threedy</w:t>
      </w:r>
      <w:proofErr w:type="spellEnd"/>
      <w:r>
        <w:t xml:space="preserve">, A Fish Story: </w:t>
      </w:r>
      <w:r w:rsidRPr="00155C53">
        <w:rPr>
          <w:i/>
        </w:rPr>
        <w:t>Alaska Packers' Association v. Domenico</w:t>
      </w:r>
      <w:r>
        <w:t>, 2000 UTAH L. REV. 185 (2000).</w:t>
      </w:r>
    </w:p>
  </w:footnote>
  <w:footnote w:id="16">
    <w:p w14:paraId="007FFC53" w14:textId="28CDD2A6" w:rsidR="00430DE4" w:rsidRDefault="00430DE4">
      <w:pPr>
        <w:pStyle w:val="FootnoteText"/>
      </w:pPr>
      <w:r>
        <w:rPr>
          <w:rStyle w:val="FootnoteReference"/>
        </w:rPr>
        <w:footnoteRef/>
      </w:r>
      <w:r>
        <w:t xml:space="preserve"> First, Alaska Packers may not have been in as much duress as the Appellate Court thought, as they had leverage against the fisherman at the time of the renegotiation.  For example, they could have denied them food at Pyramid Harbor, see </w:t>
      </w:r>
      <w:proofErr w:type="spellStart"/>
      <w:r>
        <w:t>Threedy</w:t>
      </w:r>
      <w:proofErr w:type="spellEnd"/>
      <w:r>
        <w:t xml:space="preserve">, </w:t>
      </w:r>
      <w:r w:rsidRPr="00062F44">
        <w:rPr>
          <w:i/>
        </w:rPr>
        <w:t xml:space="preserve">supra </w:t>
      </w:r>
      <w:r>
        <w:t xml:space="preserve">note </w:t>
      </w:r>
      <w:r>
        <w:fldChar w:fldCharType="begin"/>
      </w:r>
      <w:r>
        <w:instrText xml:space="preserve"> NOTEREF _Ref494522715 \h </w:instrText>
      </w:r>
      <w:r>
        <w:fldChar w:fldCharType="separate"/>
      </w:r>
      <w:r>
        <w:t>14</w:t>
      </w:r>
      <w:r>
        <w:fldChar w:fldCharType="end"/>
      </w:r>
      <w:r>
        <w:t xml:space="preserve">, at 217.  Alaska Packers also had insurance against renegotiation.  Alaska Packers Association were part of an association of canneries that insured each other against losses at any specific cannery, including the one at Pyramid Harbor. Moreover, the cannery at Pyramid Harbor was a small component Alaska Packer’s total production and that cannery had other suppliers of fish – local Native American tribes.  </w:t>
      </w:r>
      <w:r w:rsidRPr="00062F44">
        <w:rPr>
          <w:i/>
        </w:rPr>
        <w:t>Id.</w:t>
      </w:r>
      <w:r>
        <w:t xml:space="preserve">, at 200, 212, 215-216. Second, some facts that suggest that the fishermen’s costs were higher than they expected.  The fishermen were trained that nets were not to be reused season to season.  Alaska Packers, however, had bought a new type of net that allowed reuse.  It is possible the fishermen reasonably thought the nets were inadequate.  </w:t>
      </w:r>
      <w:r w:rsidRPr="00062F44">
        <w:rPr>
          <w:i/>
        </w:rPr>
        <w:t>Id.</w:t>
      </w:r>
      <w:r>
        <w:t>, at 205-208.</w:t>
      </w:r>
    </w:p>
  </w:footnote>
  <w:footnote w:id="17">
    <w:p w14:paraId="02143FAE" w14:textId="3B352611" w:rsidR="00430DE4" w:rsidRDefault="00430DE4" w:rsidP="00053FB6">
      <w:pPr>
        <w:spacing w:after="0"/>
      </w:pPr>
      <w:r>
        <w:rPr>
          <w:rStyle w:val="FootnoteReference"/>
        </w:rPr>
        <w:footnoteRef/>
      </w:r>
      <w:r>
        <w:t xml:space="preserve"> </w:t>
      </w:r>
      <w:r w:rsidRPr="00053FB6">
        <w:rPr>
          <w:sz w:val="20"/>
        </w:rPr>
        <w:t xml:space="preserve">The fisherman seemed to have signed a low-price contract but only realized it when they arrived at Pyramid Harbor and met other fisherman making double their wage.  </w:t>
      </w:r>
      <w:proofErr w:type="spellStart"/>
      <w:r w:rsidRPr="00053FB6">
        <w:rPr>
          <w:sz w:val="20"/>
        </w:rPr>
        <w:t>Threedy</w:t>
      </w:r>
      <w:proofErr w:type="spellEnd"/>
      <w:r w:rsidRPr="00053FB6">
        <w:rPr>
          <w:sz w:val="20"/>
        </w:rPr>
        <w:t xml:space="preserve">, </w:t>
      </w:r>
      <w:r w:rsidRPr="00062F44">
        <w:rPr>
          <w:i/>
          <w:sz w:val="20"/>
        </w:rPr>
        <w:t xml:space="preserve">supra </w:t>
      </w:r>
      <w:r w:rsidRPr="00053FB6">
        <w:rPr>
          <w:sz w:val="20"/>
        </w:rPr>
        <w:t xml:space="preserve">note </w:t>
      </w:r>
      <w:r w:rsidRPr="00053FB6">
        <w:rPr>
          <w:sz w:val="20"/>
        </w:rPr>
        <w:fldChar w:fldCharType="begin"/>
      </w:r>
      <w:r w:rsidRPr="00053FB6">
        <w:rPr>
          <w:sz w:val="20"/>
        </w:rPr>
        <w:instrText xml:space="preserve"> NOTEREF _Ref494522715 \h </w:instrText>
      </w:r>
      <w:r>
        <w:rPr>
          <w:sz w:val="20"/>
        </w:rPr>
        <w:instrText xml:space="preserve"> \* MERGEFORMAT </w:instrText>
      </w:r>
      <w:r w:rsidRPr="00053FB6">
        <w:rPr>
          <w:sz w:val="20"/>
        </w:rPr>
      </w:r>
      <w:r w:rsidRPr="00053FB6">
        <w:rPr>
          <w:sz w:val="20"/>
        </w:rPr>
        <w:fldChar w:fldCharType="separate"/>
      </w:r>
      <w:r w:rsidRPr="00053FB6">
        <w:rPr>
          <w:sz w:val="20"/>
        </w:rPr>
        <w:t>14</w:t>
      </w:r>
      <w:r w:rsidRPr="00053FB6">
        <w:rPr>
          <w:sz w:val="20"/>
        </w:rPr>
        <w:fldChar w:fldCharType="end"/>
      </w:r>
      <w:r w:rsidRPr="00053FB6">
        <w:rPr>
          <w:sz w:val="20"/>
        </w:rPr>
        <w:t>, at 205-208.  In addition, many of fact suggesting Alaska Packers may not have been in duress or that the fishermen’s costs had risen may not actually establish that.  For example, denying fishermen food may have sparked a riot and in any case have been hard to implement.  Moreover, it is unclear whether Alaska Packers thought that the threat imposed greater losses on the fishermen than what they stood to gain with an increase in wages.  Likewise, the fact that Alaska Packers was diversified does not mean it was fully insured and indifferent to raising wages.  Indeed, if Alaska Packers was not under duress, why did it acquiesce to a change in wages at all?  As for the nets, the fact that fishermen may not have know</w:t>
      </w:r>
      <w:r>
        <w:rPr>
          <w:sz w:val="20"/>
        </w:rPr>
        <w:t>n</w:t>
      </w:r>
      <w:r w:rsidRPr="00053FB6">
        <w:rPr>
          <w:sz w:val="20"/>
        </w:rPr>
        <w:t xml:space="preserve"> Alaska Packers’ nets could be reused does not actually mean that their costs had risen and in a way that made the deal unprofitable for them.  If Alaska Packers was right that their nets could be reused, the fishermen’s haul should have been unaffected by the nets.  Indeed, there is no evidence that the haul that season was lower due to the nets.  Indeed, the haul that season was “exceptionally large.”  </w:t>
      </w:r>
      <w:r w:rsidRPr="00062F44">
        <w:rPr>
          <w:i/>
          <w:sz w:val="20"/>
        </w:rPr>
        <w:t>Id.</w:t>
      </w:r>
      <w:r w:rsidRPr="00053FB6">
        <w:rPr>
          <w:sz w:val="20"/>
        </w:rPr>
        <w:t xml:space="preserve">, at 209.  Professor </w:t>
      </w:r>
      <w:proofErr w:type="spellStart"/>
      <w:r w:rsidRPr="00053FB6">
        <w:rPr>
          <w:sz w:val="20"/>
        </w:rPr>
        <w:t>Threedy</w:t>
      </w:r>
      <w:proofErr w:type="spellEnd"/>
      <w:r w:rsidRPr="00053FB6">
        <w:rPr>
          <w:sz w:val="20"/>
        </w:rPr>
        <w:t xml:space="preserve"> suggests that Alaska Packers had an incentive to limit the haul because it had limited canning capacity. </w:t>
      </w:r>
      <w:r w:rsidRPr="00062F44">
        <w:rPr>
          <w:i/>
          <w:sz w:val="20"/>
        </w:rPr>
        <w:t>Id.</w:t>
      </w:r>
      <w:r w:rsidRPr="00053FB6">
        <w:rPr>
          <w:sz w:val="20"/>
        </w:rPr>
        <w:t>, at 209.  But that would be more easily done by hiring fewer fishermen, saving them fixed costs of paying each fisherman a fixed amount to take the job and the marginal cost of transporting more fishermen to Alaska than required, than be providing sub-par nets.</w:t>
      </w:r>
    </w:p>
  </w:footnote>
  <w:footnote w:id="18">
    <w:p w14:paraId="0C9546DB" w14:textId="49117779" w:rsidR="00430DE4" w:rsidRDefault="00430DE4">
      <w:pPr>
        <w:pStyle w:val="FootnoteText"/>
      </w:pPr>
      <w:r>
        <w:rPr>
          <w:rStyle w:val="FootnoteReference"/>
        </w:rPr>
        <w:footnoteRef/>
      </w:r>
      <w:r>
        <w:t xml:space="preserve"> See Patrick Bolton &amp; Mathias </w:t>
      </w:r>
      <w:proofErr w:type="spellStart"/>
      <w:r>
        <w:t>Dewatripont</w:t>
      </w:r>
      <w:proofErr w:type="spellEnd"/>
      <w:r>
        <w:t xml:space="preserve">, </w:t>
      </w:r>
      <w:r w:rsidRPr="00062F44">
        <w:rPr>
          <w:i/>
        </w:rPr>
        <w:t xml:space="preserve">supra </w:t>
      </w:r>
      <w:r>
        <w:t xml:space="preserve">note </w:t>
      </w:r>
      <w:r>
        <w:fldChar w:fldCharType="begin"/>
      </w:r>
      <w:r>
        <w:instrText xml:space="preserve"> NOTEREF _Ref507668576 \h </w:instrText>
      </w:r>
      <w:r>
        <w:fldChar w:fldCharType="separate"/>
      </w:r>
      <w:r>
        <w:t>10</w:t>
      </w:r>
      <w:r>
        <w:fldChar w:fldCharType="end"/>
      </w:r>
      <w:r>
        <w:t>, at chapter 11.</w:t>
      </w:r>
    </w:p>
  </w:footnote>
  <w:footnote w:id="19">
    <w:p w14:paraId="144DCD52" w14:textId="0FA4D711" w:rsidR="00430DE4" w:rsidRDefault="00430DE4">
      <w:pPr>
        <w:pStyle w:val="FootnoteText"/>
      </w:pPr>
      <w:r>
        <w:rPr>
          <w:rStyle w:val="FootnoteReference"/>
        </w:rPr>
        <w:footnoteRef/>
      </w:r>
      <w:r>
        <w:t xml:space="preserve"> </w:t>
      </w:r>
      <w:r w:rsidRPr="00062F44">
        <w:rPr>
          <w:i/>
        </w:rPr>
        <w:t>Id.</w:t>
      </w:r>
    </w:p>
  </w:footnote>
  <w:footnote w:id="20">
    <w:p w14:paraId="5FEB50FE" w14:textId="6BB7B5CE" w:rsidR="00430DE4" w:rsidRDefault="00430DE4">
      <w:pPr>
        <w:pStyle w:val="FootnoteText"/>
      </w:pPr>
      <w:r>
        <w:rPr>
          <w:rStyle w:val="FootnoteReference"/>
        </w:rPr>
        <w:footnoteRef/>
      </w:r>
      <w:r>
        <w:t xml:space="preserve"> See </w:t>
      </w:r>
      <w:r w:rsidRPr="00DF3E6C">
        <w:t xml:space="preserve">Philippe </w:t>
      </w:r>
      <w:proofErr w:type="spellStart"/>
      <w:r w:rsidRPr="00DF3E6C">
        <w:t>Aghion</w:t>
      </w:r>
      <w:proofErr w:type="spellEnd"/>
      <w:r w:rsidRPr="00DF3E6C">
        <w:t xml:space="preserve">, </w:t>
      </w:r>
      <w:r w:rsidR="00485CB8">
        <w:rPr>
          <w:i/>
        </w:rPr>
        <w:t>et al.</w:t>
      </w:r>
      <w:r w:rsidRPr="00DF3E6C">
        <w:t xml:space="preserve">, Renegotiation Design with Unverifiable Information, 62 ECONOMETRICA </w:t>
      </w:r>
      <w:r>
        <w:t xml:space="preserve">257, 263-625 </w:t>
      </w:r>
      <w:r w:rsidRPr="00DF3E6C">
        <w:t>(1994)</w:t>
      </w:r>
      <w:r>
        <w:t xml:space="preserve"> (suggesting the use of default trade terms and take-it-or-leave it offers to structure renegotiation) and </w:t>
      </w:r>
      <w:r w:rsidRPr="00DF3E6C">
        <w:t xml:space="preserve">Georg </w:t>
      </w:r>
      <w:proofErr w:type="spellStart"/>
      <w:r w:rsidRPr="00DF3E6C">
        <w:t>Noldeke</w:t>
      </w:r>
      <w:proofErr w:type="spellEnd"/>
      <w:r w:rsidRPr="00DF3E6C">
        <w:t xml:space="preserve"> &amp; Klaus M. Schmidt, Option Contracts and Renegotiation: A Solution to the Hold-up Problem, 26 RAND J</w:t>
      </w:r>
      <w:r>
        <w:t>.</w:t>
      </w:r>
      <w:r w:rsidRPr="00DF3E6C">
        <w:t xml:space="preserve"> ECON</w:t>
      </w:r>
      <w:r>
        <w:t>.</w:t>
      </w:r>
      <w:r w:rsidRPr="00DF3E6C">
        <w:t xml:space="preserve"> </w:t>
      </w:r>
      <w:r>
        <w:t xml:space="preserve">163, 168-71 </w:t>
      </w:r>
      <w:r w:rsidRPr="00DF3E6C">
        <w:t>(1995)</w:t>
      </w:r>
      <w:r>
        <w:t xml:space="preserve"> (suggesting the use of options to restructure renegotiation)</w:t>
      </w:r>
      <w:r w:rsidRPr="00DF3E6C">
        <w:t>.</w:t>
      </w:r>
    </w:p>
  </w:footnote>
  <w:footnote w:id="21">
    <w:p w14:paraId="6B94485B" w14:textId="3C723FCA" w:rsidR="00430DE4" w:rsidRDefault="00430DE4">
      <w:pPr>
        <w:pStyle w:val="FootnoteText"/>
      </w:pPr>
      <w:r>
        <w:rPr>
          <w:rStyle w:val="FootnoteReference"/>
        </w:rPr>
        <w:footnoteRef/>
      </w:r>
      <w:r>
        <w:t xml:space="preserve"> See Eric </w:t>
      </w:r>
      <w:proofErr w:type="spellStart"/>
      <w:r>
        <w:t>Maskin</w:t>
      </w:r>
      <w:proofErr w:type="spellEnd"/>
      <w:r>
        <w:t xml:space="preserve">, Nash Equilibrium and Welfare Optimality, mimeo (1977), ultimately published as </w:t>
      </w:r>
      <w:r w:rsidRPr="00B52AD1">
        <w:t xml:space="preserve">Eric </w:t>
      </w:r>
      <w:proofErr w:type="spellStart"/>
      <w:r w:rsidRPr="00B52AD1">
        <w:t>Maskin</w:t>
      </w:r>
      <w:proofErr w:type="spellEnd"/>
      <w:r w:rsidRPr="00B52AD1">
        <w:t>, Nash Equilibrium and Welfare Optimality, 66 REV</w:t>
      </w:r>
      <w:r>
        <w:t>.</w:t>
      </w:r>
      <w:r w:rsidRPr="00B52AD1">
        <w:t xml:space="preserve"> ECON</w:t>
      </w:r>
      <w:r>
        <w:t>.</w:t>
      </w:r>
      <w:r w:rsidRPr="00B52AD1">
        <w:t xml:space="preserve"> STUD</w:t>
      </w:r>
      <w:r>
        <w:t>.</w:t>
      </w:r>
      <w:r w:rsidRPr="00B52AD1">
        <w:t xml:space="preserve"> </w:t>
      </w:r>
      <w:r>
        <w:t xml:space="preserve">23 </w:t>
      </w:r>
      <w:r w:rsidRPr="00B52AD1">
        <w:t>(1999)</w:t>
      </w:r>
      <w:r>
        <w:t xml:space="preserve"> (suggesting a simple revelation mechanism that admits a truthful Nash equilibrium) and </w:t>
      </w:r>
      <w:r w:rsidRPr="00B52AD1">
        <w:t xml:space="preserve">John Moore &amp; Rafael </w:t>
      </w:r>
      <w:proofErr w:type="spellStart"/>
      <w:r w:rsidRPr="00B52AD1">
        <w:t>Repullo</w:t>
      </w:r>
      <w:proofErr w:type="spellEnd"/>
      <w:r w:rsidRPr="00B52AD1">
        <w:t xml:space="preserve">, Subgame Perfect Implementation, 56 ECONOMETRICA </w:t>
      </w:r>
      <w:r>
        <w:t xml:space="preserve">1191, 1208, 1212 </w:t>
      </w:r>
      <w:r w:rsidRPr="00B52AD1">
        <w:t>(1988)</w:t>
      </w:r>
      <w:r>
        <w:t xml:space="preserve"> (suggesting a more complicated mechanism but which rules out non-truthful equilibria).</w:t>
      </w:r>
    </w:p>
  </w:footnote>
  <w:footnote w:id="22">
    <w:p w14:paraId="78431D4B" w14:textId="01D2C990" w:rsidR="00430DE4" w:rsidRDefault="00430DE4">
      <w:pPr>
        <w:pStyle w:val="FootnoteText"/>
      </w:pPr>
      <w:r>
        <w:rPr>
          <w:rStyle w:val="FootnoteReference"/>
        </w:rPr>
        <w:footnoteRef/>
      </w:r>
      <w:r>
        <w:t xml:space="preserve"> See </w:t>
      </w:r>
      <w:r w:rsidRPr="00D963E5">
        <w:t>Richard Holden &amp; Anup Malani, Renegotiation Design by Contract, 81 U</w:t>
      </w:r>
      <w:r>
        <w:t>.</w:t>
      </w:r>
      <w:r w:rsidRPr="00D963E5">
        <w:t xml:space="preserve"> CHICAGO L</w:t>
      </w:r>
      <w:r>
        <w:t>.</w:t>
      </w:r>
      <w:r w:rsidRPr="00D963E5">
        <w:t xml:space="preserve"> REV</w:t>
      </w:r>
      <w:r>
        <w:t xml:space="preserve">. 151, 157-160 </w:t>
      </w:r>
      <w:r w:rsidRPr="00D963E5">
        <w:t>(2014).</w:t>
      </w:r>
    </w:p>
  </w:footnote>
  <w:footnote w:id="23">
    <w:p w14:paraId="0921AA8C" w14:textId="1A0E895D" w:rsidR="00430DE4" w:rsidRDefault="00430DE4">
      <w:pPr>
        <w:pStyle w:val="FootnoteText"/>
      </w:pPr>
      <w:r>
        <w:rPr>
          <w:rStyle w:val="FootnoteReference"/>
        </w:rPr>
        <w:footnoteRef/>
      </w:r>
      <w:r>
        <w:t xml:space="preserve"> </w:t>
      </w:r>
      <w:r w:rsidRPr="00062F44">
        <w:rPr>
          <w:i/>
        </w:rPr>
        <w:t>Id.</w:t>
      </w:r>
    </w:p>
  </w:footnote>
  <w:footnote w:id="24">
    <w:p w14:paraId="244E2DA5" w14:textId="1559428B" w:rsidR="00430DE4" w:rsidRDefault="00430DE4">
      <w:pPr>
        <w:pStyle w:val="FootnoteText"/>
      </w:pPr>
      <w:r>
        <w:rPr>
          <w:rStyle w:val="FootnoteReference"/>
        </w:rPr>
        <w:footnoteRef/>
      </w:r>
      <w:r>
        <w:t xml:space="preserve"> See </w:t>
      </w:r>
      <w:r w:rsidRPr="002E0E6B">
        <w:rPr>
          <w:i/>
        </w:rPr>
        <w:t xml:space="preserve">infra </w:t>
      </w:r>
      <w:r>
        <w:t xml:space="preserve">text accompanying notes </w:t>
      </w:r>
      <w:r>
        <w:fldChar w:fldCharType="begin"/>
      </w:r>
      <w:r>
        <w:instrText xml:space="preserve"> NOTEREF _Ref508808133 \h </w:instrText>
      </w:r>
      <w:r>
        <w:fldChar w:fldCharType="separate"/>
      </w:r>
      <w:r>
        <w:t>99</w:t>
      </w:r>
      <w:r>
        <w:fldChar w:fldCharType="end"/>
      </w:r>
      <w:r>
        <w:t>.</w:t>
      </w:r>
    </w:p>
  </w:footnote>
  <w:footnote w:id="25">
    <w:p w14:paraId="27BC6FF6" w14:textId="7A152152" w:rsidR="00430DE4" w:rsidRDefault="00430DE4">
      <w:pPr>
        <w:pStyle w:val="FootnoteText"/>
      </w:pPr>
      <w:r>
        <w:rPr>
          <w:rStyle w:val="FootnoteReference"/>
        </w:rPr>
        <w:footnoteRef/>
      </w:r>
      <w:r>
        <w:t xml:space="preserve"> See </w:t>
      </w:r>
      <w:r w:rsidRPr="002E0E6B">
        <w:rPr>
          <w:i/>
        </w:rPr>
        <w:t xml:space="preserve">infra </w:t>
      </w:r>
      <w:r>
        <w:t xml:space="preserve">text accompanying note </w:t>
      </w:r>
      <w:r>
        <w:fldChar w:fldCharType="begin"/>
      </w:r>
      <w:r>
        <w:instrText xml:space="preserve"> NOTEREF _Ref508808133 \h </w:instrText>
      </w:r>
      <w:r>
        <w:fldChar w:fldCharType="separate"/>
      </w:r>
      <w:r>
        <w:t>99</w:t>
      </w:r>
      <w:r>
        <w:fldChar w:fldCharType="end"/>
      </w:r>
      <w:r>
        <w:t>.</w:t>
      </w:r>
    </w:p>
  </w:footnote>
  <w:footnote w:id="26">
    <w:p w14:paraId="24382239" w14:textId="2DF29BCF" w:rsidR="00430DE4" w:rsidRDefault="00430DE4">
      <w:pPr>
        <w:pStyle w:val="FootnoteText"/>
      </w:pPr>
      <w:r>
        <w:rPr>
          <w:rStyle w:val="FootnoteReference"/>
        </w:rPr>
        <w:footnoteRef/>
      </w:r>
      <w:r>
        <w:t xml:space="preserve"> See </w:t>
      </w:r>
      <w:proofErr w:type="spellStart"/>
      <w:r>
        <w:t>Threedy</w:t>
      </w:r>
      <w:proofErr w:type="spellEnd"/>
      <w:r>
        <w:t xml:space="preserve">, </w:t>
      </w:r>
      <w:r w:rsidRPr="00062F44">
        <w:rPr>
          <w:i/>
        </w:rPr>
        <w:t xml:space="preserve">supra </w:t>
      </w:r>
      <w:r>
        <w:t xml:space="preserve">note </w:t>
      </w:r>
      <w:r>
        <w:fldChar w:fldCharType="begin"/>
      </w:r>
      <w:r>
        <w:instrText xml:space="preserve"> NOTEREF _Ref508724226 \h </w:instrText>
      </w:r>
      <w:r>
        <w:fldChar w:fldCharType="separate"/>
      </w:r>
      <w:r>
        <w:t>15</w:t>
      </w:r>
      <w:r>
        <w:fldChar w:fldCharType="end"/>
      </w:r>
      <w:r>
        <w:t xml:space="preserve">, at 185. </w:t>
      </w:r>
    </w:p>
  </w:footnote>
  <w:footnote w:id="27">
    <w:p w14:paraId="669C18BA" w14:textId="4D615E83" w:rsidR="00430DE4" w:rsidRDefault="00430DE4">
      <w:pPr>
        <w:pStyle w:val="FootnoteText"/>
      </w:pPr>
      <w:r>
        <w:rPr>
          <w:rStyle w:val="FootnoteReference"/>
        </w:rPr>
        <w:footnoteRef/>
      </w:r>
      <w:r>
        <w:t xml:space="preserve"> Lia </w:t>
      </w:r>
      <w:proofErr w:type="spellStart"/>
      <w:r>
        <w:t>Haberman</w:t>
      </w:r>
      <w:proofErr w:type="spellEnd"/>
      <w:r>
        <w:t xml:space="preserve">, </w:t>
      </w:r>
      <w:proofErr w:type="spellStart"/>
      <w:r w:rsidRPr="00E23B96">
        <w:t>Gandolfini</w:t>
      </w:r>
      <w:proofErr w:type="spellEnd"/>
      <w:r w:rsidRPr="00E23B96">
        <w:t xml:space="preserve"> to HBO: </w:t>
      </w:r>
      <w:proofErr w:type="spellStart"/>
      <w:proofErr w:type="gramStart"/>
      <w:r w:rsidRPr="00E23B96">
        <w:t>Fuhgeddaboudit</w:t>
      </w:r>
      <w:proofErr w:type="spellEnd"/>
      <w:r w:rsidRPr="00E23B96">
        <w:t>!</w:t>
      </w:r>
      <w:r>
        <w:t>,</w:t>
      </w:r>
      <w:proofErr w:type="gramEnd"/>
      <w:r>
        <w:t xml:space="preserve"> </w:t>
      </w:r>
      <w:proofErr w:type="spellStart"/>
      <w:r>
        <w:t>E!News</w:t>
      </w:r>
      <w:proofErr w:type="spellEnd"/>
      <w:r>
        <w:t xml:space="preserve"> (Mar. 2, 2003), available at: </w:t>
      </w:r>
      <w:r w:rsidRPr="00E23B96">
        <w:t>http://www.eonline.com/news/44740/gandolfini-to-hbo-fuhgeddaboudit</w:t>
      </w:r>
      <w:r>
        <w:t xml:space="preserve">, (last visited on Mar. 14, 2018).    </w:t>
      </w:r>
    </w:p>
  </w:footnote>
  <w:footnote w:id="28">
    <w:p w14:paraId="4F8D9332" w14:textId="4F654570" w:rsidR="00430DE4" w:rsidRDefault="00430DE4">
      <w:pPr>
        <w:pStyle w:val="FootnoteText"/>
      </w:pPr>
      <w:r>
        <w:rPr>
          <w:rStyle w:val="FootnoteReference"/>
        </w:rPr>
        <w:footnoteRef/>
      </w:r>
      <w:r>
        <w:t xml:space="preserve"> </w:t>
      </w:r>
      <w:r w:rsidRPr="00E23B96">
        <w:t xml:space="preserve">1A A. CORBIN, </w:t>
      </w:r>
      <w:r w:rsidRPr="00062F44">
        <w:rPr>
          <w:i/>
        </w:rPr>
        <w:t xml:space="preserve">supra </w:t>
      </w:r>
      <w:r w:rsidRPr="00E23B96">
        <w:t xml:space="preserve">note </w:t>
      </w:r>
      <w:r>
        <w:fldChar w:fldCharType="begin"/>
      </w:r>
      <w:r>
        <w:instrText xml:space="preserve"> NOTEREF _Ref508801813 \h </w:instrText>
      </w:r>
      <w:r>
        <w:fldChar w:fldCharType="separate"/>
      </w:r>
      <w:r>
        <w:t>6</w:t>
      </w:r>
      <w:r>
        <w:fldChar w:fldCharType="end"/>
      </w:r>
      <w:r w:rsidRPr="00E23B96">
        <w:t>, at 105</w:t>
      </w:r>
    </w:p>
  </w:footnote>
  <w:footnote w:id="29">
    <w:p w14:paraId="586A0E1F" w14:textId="76B575DA" w:rsidR="00430DE4" w:rsidRDefault="00430DE4">
      <w:pPr>
        <w:pStyle w:val="FootnoteText"/>
      </w:pPr>
      <w:r>
        <w:rPr>
          <w:rStyle w:val="FootnoteReference"/>
        </w:rPr>
        <w:footnoteRef/>
      </w:r>
      <w:r>
        <w:t xml:space="preserve"> </w:t>
      </w:r>
      <w:r w:rsidRPr="00E23B96">
        <w:rPr>
          <w:i/>
        </w:rPr>
        <w:t xml:space="preserve">United States </w:t>
      </w:r>
      <w:proofErr w:type="gramStart"/>
      <w:r w:rsidRPr="00E23B96">
        <w:rPr>
          <w:i/>
        </w:rPr>
        <w:t>v.</w:t>
      </w:r>
      <w:proofErr w:type="gramEnd"/>
      <w:r w:rsidRPr="00E23B96">
        <w:rPr>
          <w:i/>
        </w:rPr>
        <w:t xml:space="preserve"> Stump Home Specialties, Inc.</w:t>
      </w:r>
      <w:r w:rsidRPr="00E23B96">
        <w:t>, 905 F.2d 1117, 1121–22 (7th Cir. 1990).</w:t>
      </w:r>
    </w:p>
  </w:footnote>
  <w:footnote w:id="30">
    <w:p w14:paraId="0A4F225C" w14:textId="707EF28C" w:rsidR="00430DE4" w:rsidRDefault="00430DE4">
      <w:pPr>
        <w:pStyle w:val="FootnoteText"/>
      </w:pPr>
      <w:r>
        <w:rPr>
          <w:rStyle w:val="FootnoteReference"/>
        </w:rPr>
        <w:footnoteRef/>
      </w:r>
      <w:r>
        <w:t xml:space="preserve"> </w:t>
      </w:r>
      <w:r w:rsidRPr="00E4209E">
        <w:rPr>
          <w:i/>
        </w:rPr>
        <w:t>Selmer Co. v. Blakeslee-Midwest Co.</w:t>
      </w:r>
      <w:r w:rsidRPr="00E4209E">
        <w:t>, 704 F.2d 924, 927 (7th Cir. 1983)</w:t>
      </w:r>
      <w:r>
        <w:t xml:space="preserve">.  See also </w:t>
      </w:r>
      <w:proofErr w:type="spellStart"/>
      <w:r>
        <w:t>Shavell</w:t>
      </w:r>
      <w:proofErr w:type="spellEnd"/>
      <w:r>
        <w:t xml:space="preserve">, </w:t>
      </w:r>
      <w:r w:rsidRPr="00062F44">
        <w:rPr>
          <w:i/>
        </w:rPr>
        <w:t xml:space="preserve">supra </w:t>
      </w:r>
      <w:r>
        <w:t xml:space="preserve">note </w:t>
      </w:r>
      <w:r>
        <w:fldChar w:fldCharType="begin"/>
      </w:r>
      <w:r>
        <w:instrText xml:space="preserve"> NOTEREF _Ref508805494 \h </w:instrText>
      </w:r>
      <w:r>
        <w:fldChar w:fldCharType="separate"/>
      </w:r>
      <w:r>
        <w:t>7</w:t>
      </w:r>
      <w:r>
        <w:fldChar w:fldCharType="end"/>
      </w:r>
      <w:r>
        <w:t>, at 329.</w:t>
      </w:r>
    </w:p>
  </w:footnote>
  <w:footnote w:id="31">
    <w:p w14:paraId="59801F40" w14:textId="4AC43C10" w:rsidR="00430DE4" w:rsidRPr="001F34E0" w:rsidRDefault="00430DE4" w:rsidP="001F34E0">
      <w:pPr>
        <w:pStyle w:val="FootnoteText"/>
      </w:pPr>
      <w:r>
        <w:rPr>
          <w:rStyle w:val="FootnoteReference"/>
        </w:rPr>
        <w:footnoteRef/>
      </w:r>
      <w:r>
        <w:t xml:space="preserve"> As </w:t>
      </w:r>
      <w:proofErr w:type="spellStart"/>
      <w:r>
        <w:t>Shavell</w:t>
      </w:r>
      <w:proofErr w:type="spellEnd"/>
      <w:r>
        <w:t xml:space="preserve"> has noted, this is not the only cost of hold-up, though the other costs are derivative of this one.  Potential victims, to avoid the costs of hold-up, may take great efforts to avoid hold-up, including using multiple suppliers even though one is sufficient or </w:t>
      </w:r>
      <w:r w:rsidRPr="001F34E0">
        <w:t xml:space="preserve">lining up alternative suppliers before </w:t>
      </w:r>
      <w:r>
        <w:t xml:space="preserve">they are required.  </w:t>
      </w:r>
      <w:r w:rsidRPr="00062F44">
        <w:rPr>
          <w:i/>
        </w:rPr>
        <w:t>Id.</w:t>
      </w:r>
      <w:r>
        <w:t xml:space="preserve">, at 330.  Conversely, potential perpetrators of hold-up, may engage in inefficient activities to engineer duress, for example, using more expensive manufacturing or service methods than required so as to credibly claim higher costs.  </w:t>
      </w:r>
      <w:r w:rsidRPr="00062F44">
        <w:rPr>
          <w:i/>
        </w:rPr>
        <w:t>Id.</w:t>
      </w:r>
      <w:r>
        <w:t xml:space="preserve">; see also, </w:t>
      </w:r>
      <w:r w:rsidRPr="00062F44">
        <w:rPr>
          <w:i/>
        </w:rPr>
        <w:t>e.g.</w:t>
      </w:r>
      <w:r>
        <w:t xml:space="preserve">,  </w:t>
      </w:r>
    </w:p>
  </w:footnote>
  <w:footnote w:id="32">
    <w:p w14:paraId="72231F79" w14:textId="0E4B961B" w:rsidR="00430DE4" w:rsidRDefault="00430DE4">
      <w:pPr>
        <w:pStyle w:val="FootnoteText"/>
      </w:pPr>
      <w:r>
        <w:rPr>
          <w:rStyle w:val="FootnoteReference"/>
        </w:rPr>
        <w:footnoteRef/>
      </w:r>
      <w:r>
        <w:t xml:space="preserve"> Instead of dealing quantities traded, our example will deal with the probability of trade.  However, our example does not depend on the buyer only obtaining one unit of the good in question because we can define a unit a lot of any arbitrary number of submits, </w:t>
      </w:r>
      <w:r w:rsidRPr="00062F44">
        <w:rPr>
          <w:i/>
        </w:rPr>
        <w:t>e.g.</w:t>
      </w:r>
      <w:r>
        <w:t xml:space="preserve">, crates of 1000 individual glass plates.  In this context, purchase of 500 glass plates can be described as a one-half probability of buying 1 crate of glass plates.  </w:t>
      </w:r>
    </w:p>
  </w:footnote>
  <w:footnote w:id="33">
    <w:p w14:paraId="487B5640" w14:textId="04AA51C2" w:rsidR="00430DE4" w:rsidRDefault="00430DE4">
      <w:pPr>
        <w:pStyle w:val="FootnoteText"/>
      </w:pPr>
      <w:r>
        <w:rPr>
          <w:rStyle w:val="FootnoteReference"/>
        </w:rPr>
        <w:footnoteRef/>
      </w:r>
      <w:r>
        <w:t xml:space="preserve"> The numbers in this example borrow heavily from a numerical example in Malani and Holden, </w:t>
      </w:r>
      <w:r w:rsidRPr="00062F44">
        <w:rPr>
          <w:i/>
        </w:rPr>
        <w:t xml:space="preserve">supra </w:t>
      </w:r>
      <w:r>
        <w:t xml:space="preserve">note </w:t>
      </w:r>
      <w:r>
        <w:fldChar w:fldCharType="begin"/>
      </w:r>
      <w:r>
        <w:instrText xml:space="preserve"> NOTEREF _Ref494521676 \h </w:instrText>
      </w:r>
      <w:r>
        <w:fldChar w:fldCharType="separate"/>
      </w:r>
      <w:r>
        <w:t>6</w:t>
      </w:r>
      <w:r>
        <w:fldChar w:fldCharType="end"/>
      </w:r>
      <w:r>
        <w:t>, at 164-169.</w:t>
      </w:r>
    </w:p>
  </w:footnote>
  <w:footnote w:id="34">
    <w:p w14:paraId="3EA8A14D" w14:textId="00A46907" w:rsidR="00430DE4" w:rsidRDefault="00430DE4">
      <w:pPr>
        <w:pStyle w:val="FootnoteText"/>
      </w:pPr>
      <w:r>
        <w:rPr>
          <w:rStyle w:val="FootnoteReference"/>
        </w:rPr>
        <w:footnoteRef/>
      </w:r>
      <w:r>
        <w:t xml:space="preserve"> See </w:t>
      </w:r>
      <w:r w:rsidRPr="00062F44">
        <w:rPr>
          <w:i/>
        </w:rPr>
        <w:t xml:space="preserve">supra </w:t>
      </w:r>
      <w:r>
        <w:t xml:space="preserve">note </w:t>
      </w:r>
      <w:r>
        <w:fldChar w:fldCharType="begin"/>
      </w:r>
      <w:r>
        <w:instrText xml:space="preserve"> NOTEREF _Ref494212392 \h </w:instrText>
      </w:r>
      <w:r>
        <w:fldChar w:fldCharType="separate"/>
      </w:r>
      <w:r>
        <w:t>28</w:t>
      </w:r>
      <w:r>
        <w:fldChar w:fldCharType="end"/>
      </w:r>
      <w:r>
        <w:t>.</w:t>
      </w:r>
    </w:p>
  </w:footnote>
  <w:footnote w:id="35">
    <w:p w14:paraId="6640EED2" w14:textId="0C407C55" w:rsidR="00430DE4" w:rsidRDefault="00430DE4" w:rsidP="00E4048E">
      <w:pPr>
        <w:pStyle w:val="FootnoteText"/>
      </w:pPr>
      <w:r>
        <w:rPr>
          <w:rStyle w:val="FootnoteReference"/>
        </w:rPr>
        <w:footnoteRef/>
      </w:r>
      <w:r>
        <w:t xml:space="preserve"> See</w:t>
      </w:r>
      <w:r w:rsidR="001F4880">
        <w:t xml:space="preserve">, </w:t>
      </w:r>
      <w:r w:rsidR="001F4880">
        <w:rPr>
          <w:i/>
        </w:rPr>
        <w:t>e.g.</w:t>
      </w:r>
      <w:r w:rsidR="001F4880">
        <w:t>,</w:t>
      </w:r>
      <w:bookmarkStart w:id="14" w:name="_GoBack"/>
      <w:bookmarkEnd w:id="14"/>
      <w:r>
        <w:t xml:space="preserve"> Samsung Galaxy 6. </w:t>
      </w:r>
    </w:p>
  </w:footnote>
  <w:footnote w:id="36">
    <w:p w14:paraId="6416E50C" w14:textId="33D13E54" w:rsidR="00430DE4" w:rsidRDefault="00430DE4" w:rsidP="00E4048E">
      <w:pPr>
        <w:pStyle w:val="FootnoteText"/>
      </w:pPr>
      <w:r>
        <w:rPr>
          <w:rStyle w:val="FootnoteReference"/>
        </w:rPr>
        <w:footnoteRef/>
      </w:r>
      <w:r>
        <w:t xml:space="preserve"> See Jordan Crook, “</w:t>
      </w:r>
      <w:r w:rsidRPr="00F77354">
        <w:t>This Apple patent application could describe facial recognition for the next iPhone</w:t>
      </w:r>
      <w:r>
        <w:t xml:space="preserve">,” TECHCRUNCH (July 6, 2017), available at </w:t>
      </w:r>
      <w:r w:rsidRPr="00F77354">
        <w:t>https://techcrunch.com/2017/07/06/this-apple-patent-could-describe-facial-recognition-for-the-next-iphone/</w:t>
      </w:r>
      <w:r>
        <w:t xml:space="preserve"> (last visited on Oct. 2, 2017).</w:t>
      </w:r>
    </w:p>
  </w:footnote>
  <w:footnote w:id="37">
    <w:p w14:paraId="5D5DF9BD" w14:textId="3A519975" w:rsidR="00430DE4" w:rsidRDefault="00430DE4" w:rsidP="00E4048E">
      <w:pPr>
        <w:pStyle w:val="FootnoteText"/>
      </w:pPr>
      <w:r>
        <w:rPr>
          <w:rStyle w:val="FootnoteReference"/>
        </w:rPr>
        <w:footnoteRef/>
      </w:r>
      <w:r>
        <w:t xml:space="preserve"> This is reflected in a number of Nobel Prizes related to this literate.  After Ronald </w:t>
      </w:r>
      <w:proofErr w:type="spellStart"/>
      <w:r>
        <w:t>Coase</w:t>
      </w:r>
      <w:proofErr w:type="spellEnd"/>
      <w:r>
        <w:t xml:space="preserve"> won the prize for his transaction cost theory of firm size, Oliver Williamson won it in 2009 in large part for his work on </w:t>
      </w:r>
      <w:r w:rsidR="00485CB8">
        <w:t>hold-up</w:t>
      </w:r>
      <w:r>
        <w:t xml:space="preserve">.  Jean </w:t>
      </w:r>
      <w:proofErr w:type="spellStart"/>
      <w:r>
        <w:t>Tirole</w:t>
      </w:r>
      <w:proofErr w:type="spellEnd"/>
      <w:r>
        <w:t xml:space="preserve"> won in 2014 for a range of contributions, one of which was his work on renegotiation design mechanisms.   Finally, Oliver Hart just won the prize in 2016 for explaining how asset ownership and residual rights of control can promote efficient ex ante investment and thus provide a theory of vertical and lateral integration.  </w:t>
      </w:r>
    </w:p>
  </w:footnote>
  <w:footnote w:id="38">
    <w:p w14:paraId="7942B594" w14:textId="6E3D0C96" w:rsidR="00430DE4" w:rsidRDefault="00430DE4">
      <w:pPr>
        <w:pStyle w:val="FootnoteText"/>
      </w:pPr>
      <w:r>
        <w:rPr>
          <w:rStyle w:val="FootnoteReference"/>
        </w:rPr>
        <w:footnoteRef/>
      </w:r>
      <w:r>
        <w:t xml:space="preserve"> See </w:t>
      </w:r>
      <w:proofErr w:type="spellStart"/>
      <w:r>
        <w:t>Aghion</w:t>
      </w:r>
      <w:proofErr w:type="spellEnd"/>
      <w:r>
        <w:t xml:space="preserve"> </w:t>
      </w:r>
      <w:r w:rsidRPr="00950A42">
        <w:rPr>
          <w:i/>
        </w:rPr>
        <w:t xml:space="preserve">et al. </w:t>
      </w:r>
      <w:r>
        <w:t xml:space="preserve">, </w:t>
      </w:r>
      <w:r w:rsidRPr="00062F44">
        <w:rPr>
          <w:i/>
        </w:rPr>
        <w:t xml:space="preserve">supra </w:t>
      </w:r>
      <w:r>
        <w:t xml:space="preserve">note </w:t>
      </w:r>
      <w:r>
        <w:fldChar w:fldCharType="begin"/>
      </w:r>
      <w:r>
        <w:instrText xml:space="preserve"> NOTEREF _Ref494634243 \h </w:instrText>
      </w:r>
      <w:r>
        <w:fldChar w:fldCharType="separate"/>
      </w:r>
      <w:r>
        <w:t>18</w:t>
      </w:r>
      <w:r>
        <w:fldChar w:fldCharType="end"/>
      </w:r>
      <w:r>
        <w:t>, at 263-266.</w:t>
      </w:r>
    </w:p>
  </w:footnote>
  <w:footnote w:id="39">
    <w:p w14:paraId="0F3CDA84" w14:textId="54BB17E1" w:rsidR="00430DE4" w:rsidRDefault="00430DE4" w:rsidP="000E41BC">
      <w:pPr>
        <w:pStyle w:val="FootnoteText"/>
      </w:pPr>
      <w:r>
        <w:rPr>
          <w:rStyle w:val="FootnoteReference"/>
        </w:rPr>
        <w:footnoteRef/>
      </w:r>
      <w:r>
        <w:t xml:space="preserve"> This description is based heavily on Holden and Malani, </w:t>
      </w:r>
      <w:r w:rsidRPr="00062F44">
        <w:rPr>
          <w:i/>
        </w:rPr>
        <w:t xml:space="preserve">supra </w:t>
      </w:r>
      <w:r>
        <w:t xml:space="preserve">note </w:t>
      </w:r>
      <w:r>
        <w:fldChar w:fldCharType="begin"/>
      </w:r>
      <w:r>
        <w:instrText xml:space="preserve"> NOTEREF _Ref494521676 \h </w:instrText>
      </w:r>
      <w:r>
        <w:fldChar w:fldCharType="separate"/>
      </w:r>
      <w:r>
        <w:t>6</w:t>
      </w:r>
      <w:r>
        <w:fldChar w:fldCharType="end"/>
      </w:r>
      <w:r>
        <w:t>, at 162-164.</w:t>
      </w:r>
    </w:p>
  </w:footnote>
  <w:footnote w:id="40">
    <w:p w14:paraId="2C97B539" w14:textId="77777777" w:rsidR="00430DE4" w:rsidRDefault="00430DE4" w:rsidP="00C60C91">
      <w:pPr>
        <w:spacing w:after="0"/>
      </w:pPr>
      <w:r>
        <w:rPr>
          <w:rStyle w:val="FootnoteReference"/>
        </w:rPr>
        <w:footnoteRef/>
      </w:r>
      <w:r>
        <w:t xml:space="preserve"> </w:t>
      </w:r>
      <w:r w:rsidRPr="00C60C91">
        <w:rPr>
          <w:rStyle w:val="FootnoteTextChar"/>
        </w:rPr>
        <w:t xml:space="preserve">A general derivation is as follows. Suppose that the valuation, </w:t>
      </w:r>
      <m:oMath>
        <m:r>
          <w:rPr>
            <w:rStyle w:val="FootnoteTextChar"/>
            <w:rFonts w:ascii="Cambria Math" w:hAnsi="Cambria Math"/>
          </w:rPr>
          <m:t>v</m:t>
        </m:r>
      </m:oMath>
      <w:r w:rsidRPr="00C60C91">
        <w:rPr>
          <w:rStyle w:val="FootnoteTextChar"/>
        </w:rPr>
        <w:t xml:space="preserve">, to the buyer is either </w:t>
      </w:r>
      <m:oMath>
        <m:sSub>
          <m:sSubPr>
            <m:ctrlPr>
              <w:rPr>
                <w:rStyle w:val="FootnoteTextChar"/>
                <w:rFonts w:ascii="Cambria Math" w:hAnsi="Cambria Math"/>
                <w:i/>
              </w:rPr>
            </m:ctrlPr>
          </m:sSubPr>
          <m:e>
            <m:r>
              <w:rPr>
                <w:rStyle w:val="FootnoteTextChar"/>
                <w:rFonts w:ascii="Cambria Math" w:hAnsi="Cambria Math"/>
              </w:rPr>
              <m:t>v</m:t>
            </m:r>
          </m:e>
          <m:sub>
            <m:r>
              <w:rPr>
                <w:rStyle w:val="FootnoteTextChar"/>
                <w:rFonts w:ascii="Cambria Math" w:hAnsi="Cambria Math"/>
              </w:rPr>
              <m:t>L</m:t>
            </m:r>
          </m:sub>
        </m:sSub>
      </m:oMath>
      <w:r w:rsidRPr="00C60C91">
        <w:rPr>
          <w:rStyle w:val="FootnoteTextChar"/>
        </w:rPr>
        <w:t xml:space="preserve"> or </w:t>
      </w:r>
      <m:oMath>
        <m:sSub>
          <m:sSubPr>
            <m:ctrlPr>
              <w:rPr>
                <w:rStyle w:val="FootnoteTextChar"/>
                <w:rFonts w:ascii="Cambria Math" w:hAnsi="Cambria Math"/>
                <w:i/>
              </w:rPr>
            </m:ctrlPr>
          </m:sSubPr>
          <m:e>
            <m:r>
              <w:rPr>
                <w:rStyle w:val="FootnoteTextChar"/>
                <w:rFonts w:ascii="Cambria Math" w:hAnsi="Cambria Math"/>
              </w:rPr>
              <m:t>v</m:t>
            </m:r>
          </m:e>
          <m:sub>
            <m:r>
              <w:rPr>
                <w:rStyle w:val="FootnoteTextChar"/>
                <w:rFonts w:ascii="Cambria Math" w:hAnsi="Cambria Math"/>
              </w:rPr>
              <m:t>H</m:t>
            </m:r>
          </m:sub>
        </m:sSub>
      </m:oMath>
      <w:r w:rsidRPr="00C60C91">
        <w:rPr>
          <w:rStyle w:val="FootnoteTextChar"/>
        </w:rPr>
        <w:t xml:space="preserve"> and the seller’s cost of production is either </w:t>
      </w:r>
      <m:oMath>
        <m:sSub>
          <m:sSubPr>
            <m:ctrlPr>
              <w:rPr>
                <w:rStyle w:val="FootnoteTextChar"/>
                <w:rFonts w:ascii="Cambria Math" w:hAnsi="Cambria Math"/>
                <w:i/>
              </w:rPr>
            </m:ctrlPr>
          </m:sSubPr>
          <m:e>
            <m:r>
              <w:rPr>
                <w:rStyle w:val="FootnoteTextChar"/>
                <w:rFonts w:ascii="Cambria Math" w:hAnsi="Cambria Math"/>
              </w:rPr>
              <m:t>c</m:t>
            </m:r>
          </m:e>
          <m:sub>
            <m:r>
              <w:rPr>
                <w:rStyle w:val="FootnoteTextChar"/>
                <w:rFonts w:ascii="Cambria Math" w:hAnsi="Cambria Math"/>
              </w:rPr>
              <m:t>L</m:t>
            </m:r>
          </m:sub>
        </m:sSub>
      </m:oMath>
      <w:r w:rsidRPr="00C60C91">
        <w:rPr>
          <w:rStyle w:val="FootnoteTextChar"/>
        </w:rPr>
        <w:t xml:space="preserve"> or </w:t>
      </w:r>
      <m:oMath>
        <m:sSub>
          <m:sSubPr>
            <m:ctrlPr>
              <w:rPr>
                <w:rStyle w:val="FootnoteTextChar"/>
                <w:rFonts w:ascii="Cambria Math" w:hAnsi="Cambria Math"/>
                <w:i/>
              </w:rPr>
            </m:ctrlPr>
          </m:sSubPr>
          <m:e>
            <m:r>
              <w:rPr>
                <w:rStyle w:val="FootnoteTextChar"/>
                <w:rFonts w:ascii="Cambria Math" w:hAnsi="Cambria Math"/>
              </w:rPr>
              <m:t>c</m:t>
            </m:r>
          </m:e>
          <m:sub>
            <m:r>
              <w:rPr>
                <w:rStyle w:val="FootnoteTextChar"/>
                <w:rFonts w:ascii="Cambria Math" w:hAnsi="Cambria Math"/>
              </w:rPr>
              <m:t>H</m:t>
            </m:r>
          </m:sub>
        </m:sSub>
      </m:oMath>
      <w:r w:rsidRPr="00C60C91">
        <w:rPr>
          <w:rStyle w:val="FootnoteTextChar"/>
        </w:rPr>
        <w:t xml:space="preserve">. Trade takes place at price </w:t>
      </w:r>
      <m:oMath>
        <m:r>
          <w:rPr>
            <w:rStyle w:val="FootnoteTextChar"/>
            <w:rFonts w:ascii="Cambria Math" w:hAnsi="Cambria Math"/>
          </w:rPr>
          <m:t>p</m:t>
        </m:r>
      </m:oMath>
      <w:r w:rsidRPr="00C60C91">
        <w:rPr>
          <w:rStyle w:val="FootnoteTextChar"/>
        </w:rPr>
        <w:t xml:space="preserve">. The buyer can invest </w:t>
      </w:r>
      <m:oMath>
        <m:r>
          <w:rPr>
            <w:rStyle w:val="FootnoteTextChar"/>
            <w:rFonts w:ascii="Cambria Math" w:hAnsi="Cambria Math"/>
          </w:rPr>
          <m:t>j</m:t>
        </m:r>
      </m:oMath>
      <w:r w:rsidRPr="00C60C91">
        <w:rPr>
          <w:rStyle w:val="FootnoteTextChar"/>
        </w:rPr>
        <w:t xml:space="preserve"> at cost </w:t>
      </w:r>
      <m:oMath>
        <m:r>
          <w:rPr>
            <w:rStyle w:val="FootnoteTextChar"/>
            <w:rFonts w:ascii="Cambria Math" w:hAnsi="Cambria Math"/>
          </w:rPr>
          <m:t>ϕ(j)</m:t>
        </m:r>
      </m:oMath>
      <w:r w:rsidRPr="00C60C91">
        <w:rPr>
          <w:rStyle w:val="FootnoteTextChar"/>
        </w:rPr>
        <w:t xml:space="preserve"> which makes the probability of the high valuation equal to </w:t>
      </w:r>
      <m:oMath>
        <m:r>
          <w:rPr>
            <w:rStyle w:val="FootnoteTextChar"/>
            <w:rFonts w:ascii="Cambria Math" w:hAnsi="Cambria Math"/>
          </w:rPr>
          <m:t>j</m:t>
        </m:r>
      </m:oMath>
      <w:r w:rsidRPr="00C60C91">
        <w:rPr>
          <w:rStyle w:val="FootnoteTextChar"/>
        </w:rPr>
        <w:t xml:space="preserve">. Similarly, the seller can invest amount </w:t>
      </w:r>
      <m:oMath>
        <m:r>
          <w:rPr>
            <w:rStyle w:val="FootnoteTextChar"/>
            <w:rFonts w:ascii="Cambria Math" w:hAnsi="Cambria Math"/>
          </w:rPr>
          <m:t>i</m:t>
        </m:r>
      </m:oMath>
      <w:r w:rsidRPr="00C60C91">
        <w:rPr>
          <w:rStyle w:val="FootnoteTextChar"/>
        </w:rPr>
        <w:t xml:space="preserve"> at cost </w:t>
      </w:r>
      <m:oMath>
        <m:r>
          <w:rPr>
            <w:rStyle w:val="FootnoteTextChar"/>
            <w:rFonts w:ascii="Cambria Math" w:hAnsi="Cambria Math"/>
          </w:rPr>
          <m:t>ϕ</m:t>
        </m:r>
        <m:d>
          <m:dPr>
            <m:ctrlPr>
              <w:rPr>
                <w:rStyle w:val="FootnoteTextChar"/>
                <w:rFonts w:ascii="Cambria Math" w:hAnsi="Cambria Math"/>
                <w:i/>
              </w:rPr>
            </m:ctrlPr>
          </m:dPr>
          <m:e>
            <m:r>
              <w:rPr>
                <w:rStyle w:val="FootnoteTextChar"/>
                <w:rFonts w:ascii="Cambria Math" w:hAnsi="Cambria Math"/>
              </w:rPr>
              <m:t>i</m:t>
            </m:r>
          </m:e>
        </m:d>
      </m:oMath>
      <w:r w:rsidRPr="00C60C91">
        <w:rPr>
          <w:rStyle w:val="FootnoteTextChar"/>
        </w:rPr>
        <w:t xml:space="preserve"> which leads to the probability of the low-cost state being i. The buyer’s payoff is thus </w:t>
      </w:r>
      <m:oMath>
        <m:r>
          <w:rPr>
            <w:rStyle w:val="FootnoteTextChar"/>
            <w:rFonts w:ascii="Cambria Math" w:hAnsi="Cambria Math"/>
          </w:rPr>
          <m:t>vq-p-ϕ</m:t>
        </m:r>
        <m:d>
          <m:dPr>
            <m:ctrlPr>
              <w:rPr>
                <w:rStyle w:val="FootnoteTextChar"/>
                <w:rFonts w:ascii="Cambria Math" w:hAnsi="Cambria Math"/>
              </w:rPr>
            </m:ctrlPr>
          </m:dPr>
          <m:e>
            <m:r>
              <w:rPr>
                <w:rStyle w:val="FootnoteTextChar"/>
                <w:rFonts w:ascii="Cambria Math" w:hAnsi="Cambria Math"/>
              </w:rPr>
              <m:t>j</m:t>
            </m:r>
          </m:e>
        </m:d>
      </m:oMath>
      <w:r w:rsidRPr="00C60C91">
        <w:rPr>
          <w:rStyle w:val="FootnoteTextChar"/>
        </w:rPr>
        <w:t xml:space="preserve">, and the sellers is </w:t>
      </w:r>
      <m:oMath>
        <m:r>
          <w:rPr>
            <w:rStyle w:val="FootnoteTextChar"/>
            <w:rFonts w:ascii="Cambria Math" w:hAnsi="Cambria Math"/>
          </w:rPr>
          <m:t>p-cq-ϕ</m:t>
        </m:r>
        <m:d>
          <m:dPr>
            <m:ctrlPr>
              <w:rPr>
                <w:rStyle w:val="FootnoteTextChar"/>
                <w:rFonts w:ascii="Cambria Math" w:hAnsi="Cambria Math"/>
                <w:i/>
              </w:rPr>
            </m:ctrlPr>
          </m:dPr>
          <m:e>
            <m:r>
              <m:rPr>
                <m:sty m:val="p"/>
              </m:rPr>
              <w:rPr>
                <w:rStyle w:val="FootnoteTextChar"/>
                <w:rFonts w:ascii="Cambria Math" w:hAnsi="Cambria Math"/>
              </w:rPr>
              <m:t>i</m:t>
            </m:r>
          </m:e>
        </m:d>
      </m:oMath>
      <w:r w:rsidRPr="00C60C91">
        <w:rPr>
          <w:rStyle w:val="FootnoteTextChar"/>
        </w:rPr>
        <w:t xml:space="preserve">. Let the default option be a price quantity pair </w:t>
      </w:r>
      <m:oMath>
        <m:d>
          <m:dPr>
            <m:ctrlPr>
              <w:rPr>
                <w:rStyle w:val="FootnoteTextChar"/>
                <w:rFonts w:ascii="Cambria Math" w:hAnsi="Cambria Math"/>
                <w:i/>
              </w:rPr>
            </m:ctrlPr>
          </m:dPr>
          <m:e>
            <m:acc>
              <m:accPr>
                <m:chr m:val="̃"/>
                <m:ctrlPr>
                  <w:rPr>
                    <w:rStyle w:val="FootnoteTextChar"/>
                    <w:rFonts w:ascii="Cambria Math" w:hAnsi="Cambria Math"/>
                    <w:i/>
                  </w:rPr>
                </m:ctrlPr>
              </m:accPr>
              <m:e>
                <m:r>
                  <w:rPr>
                    <w:rStyle w:val="FootnoteTextChar"/>
                    <w:rFonts w:ascii="Cambria Math" w:hAnsi="Cambria Math"/>
                  </w:rPr>
                  <m:t>p</m:t>
                </m:r>
              </m:e>
            </m:acc>
            <m:r>
              <w:rPr>
                <w:rStyle w:val="FootnoteTextChar"/>
                <w:rFonts w:ascii="Cambria Math" w:hAnsi="Cambria Math"/>
              </w:rPr>
              <m:t>,</m:t>
            </m:r>
            <m:acc>
              <m:accPr>
                <m:chr m:val="̃"/>
                <m:ctrlPr>
                  <w:rPr>
                    <w:rStyle w:val="FootnoteTextChar"/>
                    <w:rFonts w:ascii="Cambria Math" w:hAnsi="Cambria Math"/>
                    <w:i/>
                  </w:rPr>
                </m:ctrlPr>
              </m:accPr>
              <m:e>
                <m:r>
                  <w:rPr>
                    <w:rStyle w:val="FootnoteTextChar"/>
                    <w:rFonts w:ascii="Cambria Math" w:hAnsi="Cambria Math"/>
                  </w:rPr>
                  <m:t>q</m:t>
                </m:r>
              </m:e>
            </m:acc>
          </m:e>
        </m:d>
      </m:oMath>
      <w:r w:rsidRPr="00C60C91">
        <w:rPr>
          <w:rStyle w:val="FootnoteTextChar"/>
        </w:rPr>
        <w:t xml:space="preserve">. Set the default level of trade such that </w:t>
      </w:r>
      <m:oMath>
        <m:acc>
          <m:accPr>
            <m:chr m:val="̃"/>
            <m:ctrlPr>
              <w:rPr>
                <w:rStyle w:val="FootnoteTextChar"/>
                <w:rFonts w:ascii="Cambria Math" w:hAnsi="Cambria Math"/>
                <w:i/>
              </w:rPr>
            </m:ctrlPr>
          </m:accPr>
          <m:e>
            <m:r>
              <w:rPr>
                <w:rStyle w:val="FootnoteTextChar"/>
                <w:rFonts w:ascii="Cambria Math" w:hAnsi="Cambria Math"/>
              </w:rPr>
              <m:t>q</m:t>
            </m:r>
          </m:e>
        </m:acc>
        <m:d>
          <m:dPr>
            <m:ctrlPr>
              <w:rPr>
                <w:rStyle w:val="FootnoteTextChar"/>
                <w:rFonts w:ascii="Cambria Math" w:hAnsi="Cambria Math"/>
                <w:i/>
              </w:rPr>
            </m:ctrlPr>
          </m:dPr>
          <m:e>
            <m:sSub>
              <m:sSubPr>
                <m:ctrlPr>
                  <w:rPr>
                    <w:rStyle w:val="FootnoteTextChar"/>
                    <w:rFonts w:ascii="Cambria Math" w:hAnsi="Cambria Math"/>
                    <w:i/>
                  </w:rPr>
                </m:ctrlPr>
              </m:sSubPr>
              <m:e>
                <m:r>
                  <w:rPr>
                    <w:rStyle w:val="FootnoteTextChar"/>
                    <w:rFonts w:ascii="Cambria Math" w:hAnsi="Cambria Math"/>
                  </w:rPr>
                  <m:t>c</m:t>
                </m:r>
              </m:e>
              <m:sub>
                <m:r>
                  <w:rPr>
                    <w:rStyle w:val="FootnoteTextChar"/>
                    <w:rFonts w:ascii="Cambria Math" w:hAnsi="Cambria Math"/>
                  </w:rPr>
                  <m:t>H</m:t>
                </m:r>
              </m:sub>
            </m:sSub>
            <m:r>
              <w:rPr>
                <w:rStyle w:val="FootnoteTextChar"/>
                <w:rFonts w:ascii="Cambria Math" w:hAnsi="Cambria Math"/>
              </w:rPr>
              <m:t>-</m:t>
            </m:r>
            <m:sSub>
              <m:sSubPr>
                <m:ctrlPr>
                  <w:rPr>
                    <w:rStyle w:val="FootnoteTextChar"/>
                    <w:rFonts w:ascii="Cambria Math" w:hAnsi="Cambria Math"/>
                    <w:i/>
                  </w:rPr>
                </m:ctrlPr>
              </m:sSubPr>
              <m:e>
                <m:r>
                  <w:rPr>
                    <w:rStyle w:val="FootnoteTextChar"/>
                    <w:rFonts w:ascii="Cambria Math" w:hAnsi="Cambria Math"/>
                  </w:rPr>
                  <m:t>c</m:t>
                </m:r>
              </m:e>
              <m:sub>
                <m:r>
                  <w:rPr>
                    <w:rStyle w:val="FootnoteTextChar"/>
                    <w:rFonts w:ascii="Cambria Math" w:hAnsi="Cambria Math"/>
                  </w:rPr>
                  <m:t>L</m:t>
                </m:r>
              </m:sub>
            </m:sSub>
          </m:e>
        </m:d>
        <m:r>
          <w:rPr>
            <w:rStyle w:val="FootnoteTextChar"/>
            <w:rFonts w:ascii="Cambria Math" w:hAnsi="Cambria Math"/>
          </w:rPr>
          <m:t>=</m:t>
        </m:r>
        <m:sSup>
          <m:sSupPr>
            <m:ctrlPr>
              <w:rPr>
                <w:rStyle w:val="FootnoteTextChar"/>
                <w:rFonts w:ascii="Cambria Math" w:hAnsi="Cambria Math"/>
                <w:i/>
              </w:rPr>
            </m:ctrlPr>
          </m:sSupPr>
          <m:e>
            <m:r>
              <w:rPr>
                <w:rStyle w:val="FootnoteTextChar"/>
                <w:rFonts w:ascii="Cambria Math" w:hAnsi="Cambria Math"/>
              </w:rPr>
              <m:t>ϕ</m:t>
            </m:r>
          </m:e>
          <m:sup>
            <m:r>
              <w:rPr>
                <w:rStyle w:val="FootnoteTextChar"/>
                <w:rFonts w:ascii="Cambria Math" w:hAnsi="Cambria Math"/>
              </w:rPr>
              <m:t>'</m:t>
            </m:r>
          </m:sup>
        </m:sSup>
        <m:d>
          <m:dPr>
            <m:ctrlPr>
              <w:rPr>
                <w:rStyle w:val="FootnoteTextChar"/>
                <w:rFonts w:ascii="Cambria Math" w:hAnsi="Cambria Math"/>
                <w:i/>
              </w:rPr>
            </m:ctrlPr>
          </m:dPr>
          <m:e>
            <m:sSup>
              <m:sSupPr>
                <m:ctrlPr>
                  <w:rPr>
                    <w:rStyle w:val="FootnoteTextChar"/>
                    <w:rFonts w:ascii="Cambria Math" w:hAnsi="Cambria Math"/>
                    <w:i/>
                  </w:rPr>
                </m:ctrlPr>
              </m:sSupPr>
              <m:e>
                <m:r>
                  <w:rPr>
                    <w:rStyle w:val="FootnoteTextChar"/>
                    <w:rFonts w:ascii="Cambria Math" w:hAnsi="Cambria Math"/>
                  </w:rPr>
                  <m:t>i</m:t>
                </m:r>
              </m:e>
              <m:sup>
                <m:r>
                  <w:rPr>
                    <w:rStyle w:val="FootnoteTextChar"/>
                    <w:rFonts w:ascii="Cambria Math" w:hAnsi="Cambria Math"/>
                  </w:rPr>
                  <m:t>FB</m:t>
                </m:r>
              </m:sup>
            </m:sSup>
          </m:e>
        </m:d>
      </m:oMath>
      <w:r w:rsidRPr="00C60C91">
        <w:rPr>
          <w:rStyle w:val="FootnoteTextChar"/>
        </w:rPr>
        <w:t>, where the superscript FB denotes the first-best level of investment. The default price is set to split the surplus according the respective bargaining weights of the two parties.</w:t>
      </w:r>
    </w:p>
  </w:footnote>
  <w:footnote w:id="41">
    <w:p w14:paraId="5310192F" w14:textId="77777777" w:rsidR="00430DE4" w:rsidRDefault="00430DE4" w:rsidP="000E41BC">
      <w:pPr>
        <w:pStyle w:val="FootnoteText"/>
      </w:pPr>
      <w:r>
        <w:rPr>
          <w:rStyle w:val="FootnoteReference"/>
        </w:rPr>
        <w:footnoteRef/>
      </w:r>
      <w:r>
        <w:t xml:space="preserve"> It is easy to break the indifference slightly in favor of investing without altering the analysis.</w:t>
      </w:r>
    </w:p>
  </w:footnote>
  <w:footnote w:id="42">
    <w:p w14:paraId="2BA2F2DF" w14:textId="77777777" w:rsidR="00430DE4" w:rsidRDefault="00430DE4">
      <w:pPr>
        <w:pStyle w:val="FootnoteText"/>
      </w:pPr>
      <w:r>
        <w:rPr>
          <w:rStyle w:val="FootnoteReference"/>
        </w:rPr>
        <w:footnoteRef/>
      </w:r>
      <w:r>
        <w:t xml:space="preserve"> See, notably, </w:t>
      </w:r>
      <w:r w:rsidRPr="00DB62D5">
        <w:t xml:space="preserve">Oliver Hart &amp; John Moore, Contracts as Reference Points, 123 THE QUARTERLY JOURNAL OF ECONOMICS </w:t>
      </w:r>
      <w:r>
        <w:t xml:space="preserve">1 </w:t>
      </w:r>
      <w:r w:rsidRPr="00DB62D5">
        <w:t>(2008).</w:t>
      </w:r>
    </w:p>
  </w:footnote>
  <w:footnote w:id="43">
    <w:p w14:paraId="254C23D7" w14:textId="77777777" w:rsidR="00430DE4" w:rsidRDefault="00430DE4">
      <w:pPr>
        <w:pStyle w:val="FootnoteText"/>
      </w:pPr>
      <w:r>
        <w:rPr>
          <w:rStyle w:val="FootnoteReference"/>
        </w:rPr>
        <w:footnoteRef/>
      </w:r>
      <w:r>
        <w:t xml:space="preserve"> Eric </w:t>
      </w:r>
      <w:proofErr w:type="spellStart"/>
      <w:r>
        <w:t>Maskin</w:t>
      </w:r>
      <w:proofErr w:type="spellEnd"/>
      <w:r>
        <w:t xml:space="preserve">, Nash Equilibrium and Welfare Optimality, mimeo (1977), ultimately published as </w:t>
      </w:r>
      <w:r w:rsidRPr="00B52AD1">
        <w:t xml:space="preserve">Eric </w:t>
      </w:r>
      <w:proofErr w:type="spellStart"/>
      <w:r w:rsidRPr="00B52AD1">
        <w:t>Maskin</w:t>
      </w:r>
      <w:proofErr w:type="spellEnd"/>
      <w:r w:rsidRPr="00B52AD1">
        <w:t xml:space="preserve">, Nash Equilibrium and Welfare Optimality, 66 THE REVIEW OF ECONOMIC STUDIES </w:t>
      </w:r>
      <w:r>
        <w:t xml:space="preserve">23 </w:t>
      </w:r>
      <w:r w:rsidRPr="00B52AD1">
        <w:t>(1999).</w:t>
      </w:r>
    </w:p>
  </w:footnote>
  <w:footnote w:id="44">
    <w:p w14:paraId="7507A5E0" w14:textId="77777777" w:rsidR="00430DE4" w:rsidRDefault="00430DE4">
      <w:pPr>
        <w:pStyle w:val="FootnoteText"/>
      </w:pPr>
      <w:r>
        <w:rPr>
          <w:rStyle w:val="FootnoteReference"/>
        </w:rPr>
        <w:footnoteRef/>
      </w:r>
      <w:r>
        <w:t xml:space="preserve"> For example, they can limit how much </w:t>
      </w:r>
      <m:oMath>
        <m:r>
          <w:rPr>
            <w:rFonts w:ascii="Cambria Math" w:hAnsi="Cambria Math"/>
          </w:rPr>
          <m:t>p</m:t>
        </m:r>
      </m:oMath>
      <w:r>
        <w:t xml:space="preserve"> rises when </w:t>
      </w:r>
      <m:oMath>
        <m:r>
          <w:rPr>
            <w:rFonts w:ascii="Cambria Math" w:hAnsi="Cambria Math"/>
          </w:rPr>
          <m:t>v</m:t>
        </m:r>
      </m:oMath>
      <w:r>
        <w:t xml:space="preserve"> is high or </w:t>
      </w:r>
      <m:oMath>
        <m:r>
          <w:rPr>
            <w:rFonts w:ascii="Cambria Math" w:hAnsi="Cambria Math"/>
          </w:rPr>
          <m:t>p</m:t>
        </m:r>
      </m:oMath>
      <w:r>
        <w:t xml:space="preserve"> falls when </w:t>
      </w:r>
      <m:oMath>
        <m:r>
          <w:rPr>
            <w:rFonts w:ascii="Cambria Math" w:hAnsi="Cambria Math"/>
          </w:rPr>
          <m:t>c</m:t>
        </m:r>
      </m:oMath>
      <w:r>
        <w:t xml:space="preserve"> is low so as to ensure each party has adequate incentives to invest in raising </w:t>
      </w:r>
      <m:oMath>
        <m:r>
          <w:rPr>
            <w:rFonts w:ascii="Cambria Math" w:hAnsi="Cambria Math"/>
          </w:rPr>
          <m:t>v</m:t>
        </m:r>
      </m:oMath>
      <w:r>
        <w:t xml:space="preserve"> or lowering </w:t>
      </w:r>
      <m:oMath>
        <m:r>
          <w:rPr>
            <w:rFonts w:ascii="Cambria Math" w:hAnsi="Cambria Math"/>
          </w:rPr>
          <m:t>c</m:t>
        </m:r>
      </m:oMath>
      <w:r>
        <w:t>.</w:t>
      </w:r>
    </w:p>
  </w:footnote>
  <w:footnote w:id="45">
    <w:p w14:paraId="41737A1C" w14:textId="77777777" w:rsidR="00430DE4" w:rsidRDefault="00430DE4" w:rsidP="00B52AD1">
      <w:pPr>
        <w:pStyle w:val="FootnoteText"/>
      </w:pPr>
      <w:r>
        <w:rPr>
          <w:rStyle w:val="FootnoteReference"/>
        </w:rPr>
        <w:footnoteRef/>
      </w:r>
      <w:r>
        <w:t xml:space="preserve"> </w:t>
      </w:r>
      <w:r w:rsidRPr="00B52AD1">
        <w:t xml:space="preserve">John Moore &amp; Rafael </w:t>
      </w:r>
      <w:proofErr w:type="spellStart"/>
      <w:r w:rsidRPr="00B52AD1">
        <w:t>Repullo</w:t>
      </w:r>
      <w:proofErr w:type="spellEnd"/>
      <w:r w:rsidRPr="00B52AD1">
        <w:t xml:space="preserve">, Subgame Perfect Implementation, 56 ECONOMETRICA </w:t>
      </w:r>
      <w:r>
        <w:t xml:space="preserve">1191, 1208, 1212 </w:t>
      </w:r>
      <w:r w:rsidRPr="00B52AD1">
        <w:t>(1988).</w:t>
      </w:r>
    </w:p>
  </w:footnote>
  <w:footnote w:id="46">
    <w:p w14:paraId="57256168" w14:textId="273012F5" w:rsidR="00430DE4" w:rsidRDefault="00430DE4">
      <w:pPr>
        <w:pStyle w:val="FootnoteText"/>
      </w:pPr>
      <w:r>
        <w:rPr>
          <w:rStyle w:val="FootnoteReference"/>
        </w:rPr>
        <w:footnoteRef/>
      </w:r>
      <w:r>
        <w:t xml:space="preserve"> See </w:t>
      </w:r>
      <w:proofErr w:type="spellStart"/>
      <w:r>
        <w:t>Shavell</w:t>
      </w:r>
      <w:proofErr w:type="spellEnd"/>
      <w:r>
        <w:t xml:space="preserve">, </w:t>
      </w:r>
      <w:r w:rsidRPr="00FC540C">
        <w:rPr>
          <w:i/>
        </w:rPr>
        <w:t>supra</w:t>
      </w:r>
      <w:r>
        <w:t xml:space="preserve"> note </w:t>
      </w:r>
      <w:r>
        <w:fldChar w:fldCharType="begin"/>
      </w:r>
      <w:r>
        <w:instrText xml:space="preserve"> NOTEREF _Ref508805494 \h </w:instrText>
      </w:r>
      <w:r>
        <w:fldChar w:fldCharType="separate"/>
      </w:r>
      <w:r>
        <w:t>7</w:t>
      </w:r>
      <w:r>
        <w:fldChar w:fldCharType="end"/>
      </w:r>
      <w:r>
        <w:t>, at 347-348.</w:t>
      </w:r>
    </w:p>
  </w:footnote>
  <w:footnote w:id="47">
    <w:p w14:paraId="534BD55C" w14:textId="64C9C0F5" w:rsidR="00430DE4" w:rsidRDefault="00430DE4">
      <w:pPr>
        <w:pStyle w:val="FootnoteText"/>
      </w:pPr>
      <w:r>
        <w:rPr>
          <w:rStyle w:val="FootnoteReference"/>
        </w:rPr>
        <w:footnoteRef/>
      </w:r>
      <w:r>
        <w:t xml:space="preserve"> Holden and Malani, </w:t>
      </w:r>
      <w:r w:rsidRPr="00062F44">
        <w:rPr>
          <w:i/>
        </w:rPr>
        <w:t xml:space="preserve">supra </w:t>
      </w:r>
      <w:r>
        <w:t xml:space="preserve">note </w:t>
      </w:r>
      <w:r>
        <w:fldChar w:fldCharType="begin"/>
      </w:r>
      <w:r>
        <w:instrText xml:space="preserve"> NOTEREF _Ref494521676 \h </w:instrText>
      </w:r>
      <w:r>
        <w:fldChar w:fldCharType="separate"/>
      </w:r>
      <w:r>
        <w:t>6</w:t>
      </w:r>
      <w:r>
        <w:fldChar w:fldCharType="end"/>
      </w:r>
      <w:r>
        <w:t>, at 155.</w:t>
      </w:r>
    </w:p>
  </w:footnote>
  <w:footnote w:id="48">
    <w:p w14:paraId="1F45053D" w14:textId="4F169AA7" w:rsidR="00430DE4" w:rsidRDefault="00430DE4">
      <w:pPr>
        <w:pStyle w:val="FootnoteText"/>
      </w:pPr>
      <w:r>
        <w:rPr>
          <w:rStyle w:val="FootnoteReference"/>
        </w:rPr>
        <w:footnoteRef/>
      </w:r>
      <w:r>
        <w:t xml:space="preserve"> </w:t>
      </w:r>
      <w:r w:rsidRPr="004851AE">
        <w:t xml:space="preserve">Philippe </w:t>
      </w:r>
      <w:proofErr w:type="spellStart"/>
      <w:r w:rsidRPr="004851AE">
        <w:t>Aghion</w:t>
      </w:r>
      <w:proofErr w:type="spellEnd"/>
      <w:r w:rsidRPr="004851AE">
        <w:t xml:space="preserve">, </w:t>
      </w:r>
      <w:proofErr w:type="gramStart"/>
      <w:r w:rsidRPr="00950A42">
        <w:rPr>
          <w:i/>
        </w:rPr>
        <w:t xml:space="preserve">et al. </w:t>
      </w:r>
      <w:r w:rsidRPr="004851AE">
        <w:t>,</w:t>
      </w:r>
      <w:proofErr w:type="gramEnd"/>
      <w:r w:rsidRPr="004851AE">
        <w:t xml:space="preserve"> Subgame-perfect implementation under information perturbations, 127 THE Q</w:t>
      </w:r>
      <w:r>
        <w:t>.</w:t>
      </w:r>
      <w:r w:rsidRPr="004851AE">
        <w:t xml:space="preserve"> J</w:t>
      </w:r>
      <w:r>
        <w:t>.</w:t>
      </w:r>
      <w:r w:rsidRPr="004851AE">
        <w:t xml:space="preserve"> OF ECON</w:t>
      </w:r>
      <w:r>
        <w:t>.</w:t>
      </w:r>
      <w:r w:rsidRPr="004851AE">
        <w:t xml:space="preserve"> </w:t>
      </w:r>
      <w:r>
        <w:t xml:space="preserve">1843 </w:t>
      </w:r>
      <w:r w:rsidRPr="004851AE">
        <w:t>(2012).</w:t>
      </w:r>
    </w:p>
  </w:footnote>
  <w:footnote w:id="49">
    <w:p w14:paraId="35E6AE55" w14:textId="77777777" w:rsidR="00430DE4" w:rsidRDefault="00430DE4">
      <w:pPr>
        <w:pStyle w:val="FootnoteText"/>
      </w:pPr>
      <w:r>
        <w:rPr>
          <w:rStyle w:val="FootnoteReference"/>
        </w:rPr>
        <w:footnoteRef/>
      </w:r>
      <w:r>
        <w:t xml:space="preserve"> It may seem strange that both Apple and Corning can observe </w:t>
      </w:r>
      <m:oMath>
        <m:r>
          <w:rPr>
            <w:rFonts w:ascii="Cambria Math" w:hAnsi="Cambria Math"/>
          </w:rPr>
          <m:t>v</m:t>
        </m:r>
      </m:oMath>
      <w:r>
        <w:t xml:space="preserve"> and </w:t>
      </w:r>
      <m:oMath>
        <m:r>
          <w:rPr>
            <w:rFonts w:ascii="Cambria Math" w:hAnsi="Cambria Math"/>
          </w:rPr>
          <m:t>c</m:t>
        </m:r>
      </m:oMath>
      <w:r>
        <w:t xml:space="preserve"> bot not see the same thing. The reason that both may get some information on </w:t>
      </w:r>
      <m:oMath>
        <m:r>
          <w:rPr>
            <w:rFonts w:ascii="Cambria Math" w:hAnsi="Cambria Math"/>
          </w:rPr>
          <m:t>v</m:t>
        </m:r>
      </m:oMath>
      <w:r>
        <w:t xml:space="preserve"> and </w:t>
      </w:r>
      <m:oMath>
        <m:r>
          <w:rPr>
            <w:rFonts w:ascii="Cambria Math" w:hAnsi="Cambria Math"/>
          </w:rPr>
          <m:t>c</m:t>
        </m:r>
      </m:oMath>
      <w:r>
        <w:t xml:space="preserve"> that is unbiased, but not precise.  I.e., they see </w:t>
      </w:r>
      <m:oMath>
        <m:r>
          <w:rPr>
            <w:rFonts w:ascii="Cambria Math" w:hAnsi="Cambria Math"/>
          </w:rPr>
          <m:t>v</m:t>
        </m:r>
      </m:oMath>
      <w:r>
        <w:t xml:space="preserve"> and </w:t>
      </w:r>
      <m:oMath>
        <m:r>
          <w:rPr>
            <w:rFonts w:ascii="Cambria Math" w:hAnsi="Cambria Math"/>
          </w:rPr>
          <m:t>c</m:t>
        </m:r>
      </m:oMath>
      <w:r>
        <w:t xml:space="preserve"> plus some random noise.  In that context, the two parties get equal quality information on </w:t>
      </w:r>
      <m:oMath>
        <m:r>
          <w:rPr>
            <w:rFonts w:ascii="Cambria Math" w:hAnsi="Cambria Math"/>
          </w:rPr>
          <m:t>v</m:t>
        </m:r>
      </m:oMath>
      <w:r>
        <w:t xml:space="preserve"> and </w:t>
      </w:r>
      <m:oMath>
        <m:r>
          <w:rPr>
            <w:rFonts w:ascii="Cambria Math" w:hAnsi="Cambria Math"/>
          </w:rPr>
          <m:t>c</m:t>
        </m:r>
      </m:oMath>
      <w:r>
        <w:t xml:space="preserve">, but not agree on </w:t>
      </w:r>
      <m:oMath>
        <m:r>
          <w:rPr>
            <w:rFonts w:ascii="Cambria Math" w:hAnsi="Cambria Math"/>
          </w:rPr>
          <m:t>v</m:t>
        </m:r>
      </m:oMath>
      <w:r>
        <w:t xml:space="preserve"> or </w:t>
      </w:r>
      <m:oMath>
        <m:r>
          <w:rPr>
            <w:rFonts w:ascii="Cambria Math" w:hAnsi="Cambria Math"/>
          </w:rPr>
          <m:t>c</m:t>
        </m:r>
      </m:oMath>
      <w:r>
        <w:t xml:space="preserve">.  </w:t>
      </w:r>
    </w:p>
  </w:footnote>
  <w:footnote w:id="50">
    <w:p w14:paraId="6DBABD0E" w14:textId="48FA8FB6" w:rsidR="00430DE4" w:rsidRDefault="00430DE4">
      <w:pPr>
        <w:pStyle w:val="FootnoteText"/>
      </w:pPr>
      <w:r>
        <w:rPr>
          <w:rStyle w:val="FootnoteReference"/>
        </w:rPr>
        <w:footnoteRef/>
      </w:r>
      <w:r>
        <w:t xml:space="preserve"> </w:t>
      </w:r>
      <w:proofErr w:type="spellStart"/>
      <w:r>
        <w:t>Aghion</w:t>
      </w:r>
      <w:proofErr w:type="spellEnd"/>
      <w:r>
        <w:t xml:space="preserve"> </w:t>
      </w:r>
      <w:r w:rsidRPr="00950A42">
        <w:rPr>
          <w:i/>
        </w:rPr>
        <w:t xml:space="preserve">et al. </w:t>
      </w:r>
      <w:r>
        <w:t xml:space="preserve">, </w:t>
      </w:r>
      <w:r w:rsidRPr="00062F44">
        <w:rPr>
          <w:i/>
        </w:rPr>
        <w:t xml:space="preserve">supra </w:t>
      </w:r>
      <w:r>
        <w:t xml:space="preserve">note </w:t>
      </w:r>
      <w:r>
        <w:fldChar w:fldCharType="begin"/>
      </w:r>
      <w:r>
        <w:instrText xml:space="preserve"> NOTEREF _Ref494639894 \h </w:instrText>
      </w:r>
      <w:r>
        <w:fldChar w:fldCharType="separate"/>
      </w:r>
      <w:r>
        <w:t>45</w:t>
      </w:r>
      <w:r>
        <w:fldChar w:fldCharType="end"/>
      </w:r>
      <w:r>
        <w:t>, at 1870, 1875.</w:t>
      </w:r>
    </w:p>
  </w:footnote>
  <w:footnote w:id="51">
    <w:p w14:paraId="2FF3BB8C" w14:textId="6932D593" w:rsidR="00430DE4" w:rsidRDefault="00430DE4">
      <w:pPr>
        <w:pStyle w:val="FootnoteText"/>
      </w:pPr>
      <w:r>
        <w:rPr>
          <w:rStyle w:val="FootnoteReference"/>
        </w:rPr>
        <w:footnoteRef/>
      </w:r>
      <w:r>
        <w:t xml:space="preserve"> </w:t>
      </w:r>
      <w:proofErr w:type="spellStart"/>
      <w:r>
        <w:t>Aghion</w:t>
      </w:r>
      <w:proofErr w:type="spellEnd"/>
      <w:r>
        <w:t xml:space="preserve"> </w:t>
      </w:r>
      <w:r w:rsidRPr="00950A42">
        <w:rPr>
          <w:i/>
        </w:rPr>
        <w:t xml:space="preserve">et al. </w:t>
      </w:r>
      <w:r>
        <w:t xml:space="preserve">, </w:t>
      </w:r>
      <w:r w:rsidRPr="00062F44">
        <w:rPr>
          <w:i/>
        </w:rPr>
        <w:t xml:space="preserve">supra </w:t>
      </w:r>
      <w:r>
        <w:t xml:space="preserve">note </w:t>
      </w:r>
      <w:r>
        <w:fldChar w:fldCharType="begin"/>
      </w:r>
      <w:r>
        <w:instrText xml:space="preserve"> NOTEREF _Ref494639894 \h </w:instrText>
      </w:r>
      <w:r>
        <w:fldChar w:fldCharType="separate"/>
      </w:r>
      <w:r>
        <w:t>45</w:t>
      </w:r>
      <w:r>
        <w:fldChar w:fldCharType="end"/>
      </w:r>
      <w:r>
        <w:t>, at 1863.</w:t>
      </w:r>
    </w:p>
  </w:footnote>
  <w:footnote w:id="52">
    <w:p w14:paraId="346EAE45" w14:textId="77777777" w:rsidR="00430DE4" w:rsidRDefault="00430DE4">
      <w:pPr>
        <w:pStyle w:val="FootnoteText"/>
      </w:pPr>
      <w:r>
        <w:rPr>
          <w:rStyle w:val="FootnoteReference"/>
        </w:rPr>
        <w:footnoteRef/>
      </w:r>
      <w:r>
        <w:t xml:space="preserve"> The reason for the more dismal result with three stage mechanisms is that the party that plays in the second stage not only has no incentive to tell the truth, but has an incentive to lie, because the other party gets to play again after her.  With two stage mechanisms, player 2 does not have to worry about what player 1 will do after she moves.  </w:t>
      </w:r>
    </w:p>
  </w:footnote>
  <w:footnote w:id="53">
    <w:p w14:paraId="152060B0" w14:textId="28484F24" w:rsidR="00430DE4" w:rsidRDefault="00430DE4">
      <w:pPr>
        <w:pStyle w:val="FootnoteText"/>
      </w:pPr>
      <w:r>
        <w:rPr>
          <w:rStyle w:val="FootnoteReference"/>
        </w:rPr>
        <w:footnoteRef/>
      </w:r>
      <w:r>
        <w:t xml:space="preserve"> </w:t>
      </w:r>
      <w:r w:rsidRPr="009F6DD0">
        <w:t xml:space="preserve">Philippe </w:t>
      </w:r>
      <w:proofErr w:type="spellStart"/>
      <w:r w:rsidRPr="009F6DD0">
        <w:t>Aghion</w:t>
      </w:r>
      <w:proofErr w:type="spellEnd"/>
      <w:r w:rsidRPr="009F6DD0">
        <w:t xml:space="preserve">, </w:t>
      </w:r>
      <w:proofErr w:type="gramStart"/>
      <w:r w:rsidRPr="00950A42">
        <w:rPr>
          <w:i/>
        </w:rPr>
        <w:t xml:space="preserve">et al. </w:t>
      </w:r>
      <w:r w:rsidRPr="009F6DD0">
        <w:t>,</w:t>
      </w:r>
      <w:proofErr w:type="gramEnd"/>
      <w:r w:rsidRPr="009F6DD0">
        <w:t xml:space="preserve"> The Role of Bounded Rationality and Imperfect Information in Subgame Perfect Implementation—An Empirical Investigation, J</w:t>
      </w:r>
      <w:r>
        <w:t>.</w:t>
      </w:r>
      <w:r w:rsidRPr="009F6DD0">
        <w:t xml:space="preserve"> OF EUR</w:t>
      </w:r>
      <w:r>
        <w:t>.</w:t>
      </w:r>
      <w:r w:rsidRPr="009F6DD0">
        <w:t xml:space="preserve"> ECON</w:t>
      </w:r>
      <w:r>
        <w:t>.</w:t>
      </w:r>
      <w:r w:rsidRPr="009F6DD0">
        <w:t xml:space="preserve"> ASSOC</w:t>
      </w:r>
      <w:r>
        <w:t>.</w:t>
      </w:r>
      <w:r w:rsidRPr="009F6DD0">
        <w:t xml:space="preserve"> </w:t>
      </w:r>
      <w:r>
        <w:t xml:space="preserve">1, 27 </w:t>
      </w:r>
      <w:r w:rsidRPr="009F6DD0">
        <w:t>(2017).</w:t>
      </w:r>
    </w:p>
  </w:footnote>
  <w:footnote w:id="54">
    <w:p w14:paraId="4EB085FF" w14:textId="5618C242" w:rsidR="00430DE4" w:rsidRDefault="00430DE4">
      <w:pPr>
        <w:pStyle w:val="FootnoteText"/>
      </w:pPr>
      <w:r>
        <w:rPr>
          <w:rStyle w:val="FootnoteReference"/>
        </w:rPr>
        <w:footnoteRef/>
      </w:r>
      <w:r>
        <w:t xml:space="preserve"> </w:t>
      </w:r>
      <w:r w:rsidRPr="006968D7">
        <w:t xml:space="preserve">See, </w:t>
      </w:r>
      <w:r w:rsidRPr="006968D7">
        <w:rPr>
          <w:i/>
        </w:rPr>
        <w:t>e.g.</w:t>
      </w:r>
      <w:r w:rsidRPr="006968D7">
        <w:t xml:space="preserve">, </w:t>
      </w:r>
      <w:r w:rsidRPr="006968D7">
        <w:rPr>
          <w:i/>
        </w:rPr>
        <w:t>Rose v. Daniels</w:t>
      </w:r>
      <w:r w:rsidRPr="006968D7">
        <w:t>, 8 R.I. 381 (1866) (</w:t>
      </w:r>
      <w:r>
        <w:t xml:space="preserve">holding that a modification to a loan agreement which discharged the debt for a sum lower than the amount due was unenforceable because it was not supported by </w:t>
      </w:r>
      <w:r w:rsidRPr="006968D7">
        <w:t>consideration)</w:t>
      </w:r>
      <w:r>
        <w:t xml:space="preserve">.  See also </w:t>
      </w:r>
      <w:r w:rsidRPr="00EF3456">
        <w:t xml:space="preserve">1A CORBIN, </w:t>
      </w:r>
      <w:r w:rsidRPr="00EF3456">
        <w:rPr>
          <w:i/>
        </w:rPr>
        <w:t>supra</w:t>
      </w:r>
      <w:r w:rsidRPr="00EF3456">
        <w:t xml:space="preserve"> note </w:t>
      </w:r>
      <w:r>
        <w:fldChar w:fldCharType="begin"/>
      </w:r>
      <w:r>
        <w:instrText xml:space="preserve"> NOTEREF _Ref508801813 \h </w:instrText>
      </w:r>
      <w:r>
        <w:fldChar w:fldCharType="separate"/>
      </w:r>
      <w:r>
        <w:t>6</w:t>
      </w:r>
      <w:r>
        <w:fldChar w:fldCharType="end"/>
      </w:r>
      <w:r w:rsidRPr="00EF3456">
        <w:t xml:space="preserve">, </w:t>
      </w:r>
      <w:r>
        <w:t xml:space="preserve">§ </w:t>
      </w:r>
      <w:r w:rsidRPr="00EF3456">
        <w:t>171, at 105</w:t>
      </w:r>
      <w:r>
        <w:t xml:space="preserve"> (</w:t>
      </w:r>
      <w:r w:rsidRPr="005A53B4">
        <w:rPr>
          <w:rFonts w:cstheme="minorHAnsi"/>
        </w:rPr>
        <w:t>"[N]either the performance of duty nor the promise to render performance already required by duty is sufficient con</w:t>
      </w:r>
      <w:r>
        <w:rPr>
          <w:rFonts w:cstheme="minorHAnsi"/>
        </w:rPr>
        <w:t>sideration for a return promise.</w:t>
      </w:r>
      <w:r w:rsidRPr="005A53B4">
        <w:rPr>
          <w:rFonts w:cstheme="minorHAnsi"/>
        </w:rPr>
        <w:t>"</w:t>
      </w:r>
      <w:r>
        <w:t>).</w:t>
      </w:r>
    </w:p>
  </w:footnote>
  <w:footnote w:id="55">
    <w:p w14:paraId="5034FBD0" w14:textId="77777777" w:rsidR="00430DE4" w:rsidRDefault="00430DE4" w:rsidP="00950A42">
      <w:pPr>
        <w:pStyle w:val="FootnoteText"/>
      </w:pPr>
      <w:r>
        <w:rPr>
          <w:rStyle w:val="FootnoteReference"/>
        </w:rPr>
        <w:footnoteRef/>
      </w:r>
      <w:r>
        <w:t xml:space="preserve"> </w:t>
      </w:r>
      <w:r w:rsidRPr="00950A42">
        <w:rPr>
          <w:i/>
        </w:rPr>
        <w:t xml:space="preserve">Alaska Packers' </w:t>
      </w:r>
      <w:proofErr w:type="spellStart"/>
      <w:r w:rsidRPr="00950A42">
        <w:rPr>
          <w:i/>
        </w:rPr>
        <w:t>Ass'n</w:t>
      </w:r>
      <w:proofErr w:type="spellEnd"/>
      <w:r w:rsidRPr="00950A42">
        <w:t>, 117 F. at 102</w:t>
      </w:r>
    </w:p>
  </w:footnote>
  <w:footnote w:id="56">
    <w:p w14:paraId="6031579E" w14:textId="04997D71" w:rsidR="00430DE4" w:rsidRDefault="00430DE4" w:rsidP="00950A42">
      <w:pPr>
        <w:pStyle w:val="FootnoteText"/>
      </w:pPr>
      <w:r>
        <w:rPr>
          <w:rStyle w:val="FootnoteReference"/>
        </w:rPr>
        <w:footnoteRef/>
      </w:r>
      <w:r>
        <w:t xml:space="preserve"> It has been argued that the justification for the pre-existing duty or no-consideration rule is really duress.  See, e.g., Richard A. Posner, Gratuitous Promises in Economics and Law 46, in 56 THE ECONOMICS OF CONTRACT LAW (Anthony T. </w:t>
      </w:r>
      <w:proofErr w:type="spellStart"/>
      <w:r>
        <w:t>Kronman</w:t>
      </w:r>
      <w:proofErr w:type="spellEnd"/>
      <w:r>
        <w:t xml:space="preserve"> &amp; Richard A. Posner, eds. 1979); Graham and Peirce, </w:t>
      </w:r>
      <w:r w:rsidRPr="00D92F74">
        <w:rPr>
          <w:i/>
        </w:rPr>
        <w:t>supra</w:t>
      </w:r>
      <w:r>
        <w:t xml:space="preserve"> note </w:t>
      </w:r>
      <w:r>
        <w:fldChar w:fldCharType="begin"/>
      </w:r>
      <w:r>
        <w:instrText xml:space="preserve"> NOTEREF _Ref508808929 \h </w:instrText>
      </w:r>
      <w:r>
        <w:fldChar w:fldCharType="separate"/>
      </w:r>
      <w:r>
        <w:t>2</w:t>
      </w:r>
      <w:r>
        <w:fldChar w:fldCharType="end"/>
      </w:r>
      <w:r>
        <w:t xml:space="preserve">, at 13; Marvin A. </w:t>
      </w:r>
      <w:proofErr w:type="spellStart"/>
      <w:r>
        <w:t>Chirelstein</w:t>
      </w:r>
      <w:proofErr w:type="spellEnd"/>
      <w:r>
        <w:t xml:space="preserve">, CONCEPTS AND CASE ANALYSIS IN THE LAW OF CONTRACTS 65 (3d ed. 1998); Mary Lou </w:t>
      </w:r>
      <w:proofErr w:type="spellStart"/>
      <w:r>
        <w:t>Serafine</w:t>
      </w:r>
      <w:proofErr w:type="spellEnd"/>
      <w:r>
        <w:t>, Note, Repudiated Compromise after Breach,</w:t>
      </w:r>
    </w:p>
    <w:p w14:paraId="58EAA816" w14:textId="6EAC2C1A" w:rsidR="00430DE4" w:rsidRDefault="00430DE4" w:rsidP="00950A42">
      <w:pPr>
        <w:pStyle w:val="FootnoteText"/>
      </w:pPr>
      <w:r>
        <w:t>100 YALE L. J. 2229 (1991).</w:t>
      </w:r>
    </w:p>
  </w:footnote>
  <w:footnote w:id="57">
    <w:p w14:paraId="19DE5298" w14:textId="71265DC0" w:rsidR="00430DE4" w:rsidRDefault="00430DE4">
      <w:pPr>
        <w:pStyle w:val="FootnoteText"/>
      </w:pPr>
      <w:r>
        <w:rPr>
          <w:rStyle w:val="FootnoteReference"/>
        </w:rPr>
        <w:footnoteRef/>
      </w:r>
      <w:r>
        <w:t xml:space="preserve"> See Graham and Peirce, </w:t>
      </w:r>
      <w:r w:rsidRPr="006A73D8">
        <w:rPr>
          <w:i/>
        </w:rPr>
        <w:t>supra</w:t>
      </w:r>
      <w:r>
        <w:t xml:space="preserve"> note </w:t>
      </w:r>
      <w:r>
        <w:rPr>
          <w:highlight w:val="yellow"/>
        </w:rPr>
        <w:fldChar w:fldCharType="begin"/>
      </w:r>
      <w:r>
        <w:instrText xml:space="preserve"> NOTEREF _Ref508808929 \h </w:instrText>
      </w:r>
      <w:r>
        <w:rPr>
          <w:highlight w:val="yellow"/>
        </w:rPr>
      </w:r>
      <w:r>
        <w:rPr>
          <w:highlight w:val="yellow"/>
        </w:rPr>
        <w:fldChar w:fldCharType="separate"/>
      </w:r>
      <w:r>
        <w:t>2</w:t>
      </w:r>
      <w:r>
        <w:rPr>
          <w:highlight w:val="yellow"/>
        </w:rPr>
        <w:fldChar w:fldCharType="end"/>
      </w:r>
      <w:r>
        <w:t xml:space="preserve">, at 14. </w:t>
      </w:r>
    </w:p>
  </w:footnote>
  <w:footnote w:id="58">
    <w:p w14:paraId="48C3BE11" w14:textId="749996E4" w:rsidR="00430DE4" w:rsidRDefault="00430DE4">
      <w:pPr>
        <w:pStyle w:val="FootnoteText"/>
      </w:pPr>
      <w:r>
        <w:rPr>
          <w:rStyle w:val="FootnoteReference"/>
        </w:rPr>
        <w:footnoteRef/>
      </w:r>
      <w:r>
        <w:t xml:space="preserve"> See </w:t>
      </w:r>
      <w:r w:rsidRPr="00FC540C">
        <w:rPr>
          <w:i/>
        </w:rPr>
        <w:t>Id</w:t>
      </w:r>
      <w:r>
        <w:t>. at 15;</w:t>
      </w:r>
      <w:r w:rsidRPr="00FC540C">
        <w:t xml:space="preserve"> J. CALAMARI &amp; J. PERILLO, CONTRACTS </w:t>
      </w:r>
      <w:r>
        <w:t xml:space="preserve">§ </w:t>
      </w:r>
      <w:r w:rsidRPr="00FC540C">
        <w:t>4-9, at 20</w:t>
      </w:r>
      <w:r>
        <w:t xml:space="preserve">7; </w:t>
      </w:r>
      <w:r w:rsidRPr="00FC540C">
        <w:t>J. MURRAY, CONTRACTS</w:t>
      </w:r>
      <w:r>
        <w:t xml:space="preserve"> 179 (1974).</w:t>
      </w:r>
    </w:p>
  </w:footnote>
  <w:footnote w:id="59">
    <w:p w14:paraId="7EB85CD2" w14:textId="081B6814" w:rsidR="00430DE4" w:rsidRDefault="00430DE4">
      <w:pPr>
        <w:pStyle w:val="FootnoteText"/>
      </w:pPr>
      <w:r>
        <w:rPr>
          <w:rStyle w:val="FootnoteReference"/>
        </w:rPr>
        <w:footnoteRef/>
      </w:r>
      <w:r>
        <w:t xml:space="preserve"> See Graham and Peirce, </w:t>
      </w:r>
      <w:r w:rsidRPr="006A73D8">
        <w:rPr>
          <w:i/>
        </w:rPr>
        <w:t>supra</w:t>
      </w:r>
      <w:r>
        <w:t xml:space="preserve"> note </w:t>
      </w:r>
      <w:r>
        <w:rPr>
          <w:highlight w:val="yellow"/>
        </w:rPr>
        <w:fldChar w:fldCharType="begin"/>
      </w:r>
      <w:r>
        <w:instrText xml:space="preserve"> NOTEREF _Ref508808929 \h </w:instrText>
      </w:r>
      <w:r>
        <w:rPr>
          <w:highlight w:val="yellow"/>
        </w:rPr>
      </w:r>
      <w:r>
        <w:rPr>
          <w:highlight w:val="yellow"/>
        </w:rPr>
        <w:fldChar w:fldCharType="separate"/>
      </w:r>
      <w:r>
        <w:t>2</w:t>
      </w:r>
      <w:r>
        <w:rPr>
          <w:highlight w:val="yellow"/>
        </w:rPr>
        <w:fldChar w:fldCharType="end"/>
      </w:r>
      <w:r>
        <w:t xml:space="preserve">, at 14-15. </w:t>
      </w:r>
    </w:p>
  </w:footnote>
  <w:footnote w:id="60">
    <w:p w14:paraId="642AB98D" w14:textId="3A500410" w:rsidR="00430DE4" w:rsidRDefault="00430DE4">
      <w:pPr>
        <w:pStyle w:val="FootnoteText"/>
      </w:pPr>
      <w:r>
        <w:rPr>
          <w:rStyle w:val="FootnoteReference"/>
        </w:rPr>
        <w:footnoteRef/>
      </w:r>
      <w:r>
        <w:t xml:space="preserve"> </w:t>
      </w:r>
      <w:r w:rsidRPr="006A73D8">
        <w:t xml:space="preserve">See, </w:t>
      </w:r>
      <w:r w:rsidRPr="006A73D8">
        <w:rPr>
          <w:i/>
        </w:rPr>
        <w:t>e.g.</w:t>
      </w:r>
      <w:r w:rsidRPr="006A73D8">
        <w:t xml:space="preserve">, </w:t>
      </w:r>
      <w:r w:rsidRPr="006A73D8">
        <w:rPr>
          <w:i/>
        </w:rPr>
        <w:t xml:space="preserve">Hartsville Oil Mill </w:t>
      </w:r>
      <w:proofErr w:type="gramStart"/>
      <w:r w:rsidRPr="006A73D8">
        <w:rPr>
          <w:i/>
        </w:rPr>
        <w:t>v.</w:t>
      </w:r>
      <w:proofErr w:type="gramEnd"/>
      <w:r w:rsidRPr="006A73D8">
        <w:rPr>
          <w:i/>
        </w:rPr>
        <w:t xml:space="preserve"> United States</w:t>
      </w:r>
      <w:r w:rsidRPr="006A73D8">
        <w:t xml:space="preserve">, 271 U.S. 43 (1926); </w:t>
      </w:r>
      <w:r w:rsidRPr="006A73D8">
        <w:rPr>
          <w:i/>
        </w:rPr>
        <w:t>Steinberg Press, Inc. v. Charles Henry Publications, Inc.</w:t>
      </w:r>
      <w:r w:rsidRPr="006A73D8">
        <w:t xml:space="preserve">, 68 N.Y.S.2d 793 (N.Y. Sup. Ct. 1947); </w:t>
      </w:r>
      <w:proofErr w:type="spellStart"/>
      <w:r w:rsidRPr="006A73D8">
        <w:rPr>
          <w:i/>
        </w:rPr>
        <w:t>Sistrom</w:t>
      </w:r>
      <w:proofErr w:type="spellEnd"/>
      <w:r w:rsidRPr="006A73D8">
        <w:rPr>
          <w:i/>
        </w:rPr>
        <w:t xml:space="preserve"> v. Anderson</w:t>
      </w:r>
      <w:r w:rsidRPr="006A73D8">
        <w:t>, 51 Cal. App. 2d 213, 124 P.2d 372 (1942)</w:t>
      </w:r>
      <w:r>
        <w:t xml:space="preserve">; see also Christine </w:t>
      </w:r>
      <w:proofErr w:type="spellStart"/>
      <w:r>
        <w:t>Jolls</w:t>
      </w:r>
      <w:proofErr w:type="spellEnd"/>
      <w:r>
        <w:t xml:space="preserve">, Contracts as Bilateral Commitments: A New Perspective on Contract Modification, 26 J. LEG. STUD. 203, 207 (1997).  </w:t>
      </w:r>
    </w:p>
  </w:footnote>
  <w:footnote w:id="61">
    <w:p w14:paraId="13784D48" w14:textId="1116EC43" w:rsidR="00430DE4" w:rsidRDefault="00430DE4">
      <w:pPr>
        <w:pStyle w:val="FootnoteText"/>
      </w:pPr>
      <w:r>
        <w:rPr>
          <w:rStyle w:val="FootnoteReference"/>
        </w:rPr>
        <w:footnoteRef/>
      </w:r>
      <w:r>
        <w:t xml:space="preserve"> </w:t>
      </w:r>
      <w:r w:rsidRPr="006A73D8">
        <w:t>Restatement (Second) of Contracts §§ 175(1), 176(1)(d) (1979).</w:t>
      </w:r>
    </w:p>
  </w:footnote>
  <w:footnote w:id="62">
    <w:p w14:paraId="5AE572E6" w14:textId="6B1B3AAE" w:rsidR="00430DE4" w:rsidRDefault="00430DE4">
      <w:pPr>
        <w:pStyle w:val="FootnoteText"/>
      </w:pPr>
      <w:r>
        <w:rPr>
          <w:rStyle w:val="FootnoteReference"/>
        </w:rPr>
        <w:footnoteRef/>
      </w:r>
      <w:r>
        <w:t xml:space="preserve"> Graham and Peirce, supra note </w:t>
      </w:r>
      <w:r>
        <w:rPr>
          <w:highlight w:val="yellow"/>
        </w:rPr>
        <w:fldChar w:fldCharType="begin"/>
      </w:r>
      <w:r>
        <w:instrText xml:space="preserve"> NOTEREF _Ref508808929 \h </w:instrText>
      </w:r>
      <w:r>
        <w:rPr>
          <w:highlight w:val="yellow"/>
        </w:rPr>
      </w:r>
      <w:r>
        <w:rPr>
          <w:highlight w:val="yellow"/>
        </w:rPr>
        <w:fldChar w:fldCharType="separate"/>
      </w:r>
      <w:r>
        <w:t>2</w:t>
      </w:r>
      <w:r>
        <w:rPr>
          <w:highlight w:val="yellow"/>
        </w:rPr>
        <w:fldChar w:fldCharType="end"/>
      </w:r>
      <w:r>
        <w:t>, at 10.</w:t>
      </w:r>
    </w:p>
  </w:footnote>
  <w:footnote w:id="63">
    <w:p w14:paraId="7C6492B6" w14:textId="4212E3A5" w:rsidR="00430DE4" w:rsidRDefault="00430DE4">
      <w:pPr>
        <w:pStyle w:val="FootnoteText"/>
      </w:pPr>
      <w:r>
        <w:rPr>
          <w:rStyle w:val="FootnoteReference"/>
        </w:rPr>
        <w:footnoteRef/>
      </w:r>
      <w:r>
        <w:t xml:space="preserve"> See, e.g., </w:t>
      </w:r>
      <w:r w:rsidRPr="00661859">
        <w:rPr>
          <w:i/>
        </w:rPr>
        <w:t>Angel v. Murray</w:t>
      </w:r>
      <w:r>
        <w:t xml:space="preserve">, 322 A.2d 630 (R.I. 1974).  </w:t>
      </w:r>
    </w:p>
  </w:footnote>
  <w:footnote w:id="64">
    <w:p w14:paraId="259F21F1" w14:textId="277E492E" w:rsidR="00430DE4" w:rsidRDefault="00430DE4">
      <w:pPr>
        <w:pStyle w:val="FootnoteText"/>
      </w:pPr>
      <w:r>
        <w:rPr>
          <w:rStyle w:val="FootnoteReference"/>
        </w:rPr>
        <w:footnoteRef/>
      </w:r>
      <w:r>
        <w:t xml:space="preserve"> </w:t>
      </w:r>
      <w:r w:rsidRPr="006A73D8">
        <w:t>Restatement (Second) of Contracts §</w:t>
      </w:r>
      <w:r>
        <w:t xml:space="preserve"> 73.  </w:t>
      </w:r>
    </w:p>
  </w:footnote>
  <w:footnote w:id="65">
    <w:p w14:paraId="0F1948C0" w14:textId="7EBFEBD8" w:rsidR="00430DE4" w:rsidRDefault="00430DE4">
      <w:pPr>
        <w:pStyle w:val="FootnoteText"/>
      </w:pPr>
      <w:r>
        <w:rPr>
          <w:rStyle w:val="FootnoteReference"/>
        </w:rPr>
        <w:footnoteRef/>
      </w:r>
      <w:r>
        <w:t xml:space="preserve"> </w:t>
      </w:r>
      <w:r w:rsidRPr="00661859">
        <w:rPr>
          <w:i/>
        </w:rPr>
        <w:t>Id</w:t>
      </w:r>
      <w:r>
        <w:t xml:space="preserve">., at </w:t>
      </w:r>
      <w:r w:rsidRPr="006A73D8">
        <w:t>§</w:t>
      </w:r>
      <w:r>
        <w:t xml:space="preserve"> 89.</w:t>
      </w:r>
    </w:p>
  </w:footnote>
  <w:footnote w:id="66">
    <w:p w14:paraId="24BA2C1E" w14:textId="49902EAD" w:rsidR="00430DE4" w:rsidRDefault="00430DE4">
      <w:pPr>
        <w:pStyle w:val="FootnoteText"/>
      </w:pPr>
      <w:r>
        <w:rPr>
          <w:rStyle w:val="FootnoteReference"/>
        </w:rPr>
        <w:footnoteRef/>
      </w:r>
      <w:r>
        <w:t xml:space="preserve"> </w:t>
      </w:r>
      <w:r w:rsidRPr="00661859">
        <w:rPr>
          <w:i/>
        </w:rPr>
        <w:t>Id</w:t>
      </w:r>
      <w:r>
        <w:t xml:space="preserve">., at </w:t>
      </w:r>
      <w:r w:rsidRPr="006A73D8">
        <w:t>§</w:t>
      </w:r>
      <w:r>
        <w:t xml:space="preserve"> 175(1), 176(1)(d).</w:t>
      </w:r>
    </w:p>
  </w:footnote>
  <w:footnote w:id="67">
    <w:p w14:paraId="43A9107E" w14:textId="0103BD9D" w:rsidR="00430DE4" w:rsidRDefault="00430DE4">
      <w:pPr>
        <w:pStyle w:val="FootnoteText"/>
      </w:pPr>
      <w:r>
        <w:rPr>
          <w:rStyle w:val="FootnoteReference"/>
        </w:rPr>
        <w:footnoteRef/>
      </w:r>
      <w:r>
        <w:t xml:space="preserve"> </w:t>
      </w:r>
      <w:proofErr w:type="spellStart"/>
      <w:r>
        <w:t>Shavell</w:t>
      </w:r>
      <w:proofErr w:type="spellEnd"/>
      <w:r>
        <w:t xml:space="preserve">, </w:t>
      </w:r>
      <w:r w:rsidRPr="00AB3FE1">
        <w:rPr>
          <w:i/>
        </w:rPr>
        <w:t>supra</w:t>
      </w:r>
      <w:r>
        <w:t xml:space="preserve"> note </w:t>
      </w:r>
      <w:r>
        <w:fldChar w:fldCharType="begin"/>
      </w:r>
      <w:r>
        <w:instrText xml:space="preserve"> NOTEREF _Ref508805494 \h </w:instrText>
      </w:r>
      <w:r>
        <w:fldChar w:fldCharType="separate"/>
      </w:r>
      <w:r>
        <w:t>7</w:t>
      </w:r>
      <w:r>
        <w:fldChar w:fldCharType="end"/>
      </w:r>
      <w:r>
        <w:t>, at 326.</w:t>
      </w:r>
    </w:p>
  </w:footnote>
  <w:footnote w:id="68">
    <w:p w14:paraId="4ABE570A" w14:textId="286573E4" w:rsidR="00430DE4" w:rsidRDefault="00430DE4" w:rsidP="00AB3FE1">
      <w:pPr>
        <w:pStyle w:val="FootnoteText"/>
      </w:pPr>
      <w:r>
        <w:rPr>
          <w:rStyle w:val="FootnoteReference"/>
        </w:rPr>
        <w:footnoteRef/>
      </w:r>
      <w:r>
        <w:t xml:space="preserve"> Oren Bar Gill and </w:t>
      </w:r>
      <w:proofErr w:type="spellStart"/>
      <w:r>
        <w:t>Omri</w:t>
      </w:r>
      <w:proofErr w:type="spellEnd"/>
      <w:r>
        <w:t xml:space="preserve"> Ben </w:t>
      </w:r>
      <w:proofErr w:type="spellStart"/>
      <w:r>
        <w:t>Shahar</w:t>
      </w:r>
      <w:proofErr w:type="spellEnd"/>
      <w:r>
        <w:t xml:space="preserve">, The Law of Duress and the Economics of Credible Threats, 33 J. LEG. STUD. 391, 392 (2004).  </w:t>
      </w:r>
    </w:p>
  </w:footnote>
  <w:footnote w:id="69">
    <w:p w14:paraId="2C6A1971" w14:textId="41A47B8F" w:rsidR="00430DE4" w:rsidRDefault="00430DE4" w:rsidP="00F61711">
      <w:pPr>
        <w:pStyle w:val="FootnoteText"/>
      </w:pPr>
      <w:r>
        <w:rPr>
          <w:rStyle w:val="FootnoteReference"/>
        </w:rPr>
        <w:footnoteRef/>
      </w:r>
      <w:r>
        <w:t xml:space="preserve"> See </w:t>
      </w:r>
      <w:proofErr w:type="spellStart"/>
      <w:r>
        <w:t>Jolls</w:t>
      </w:r>
      <w:proofErr w:type="spellEnd"/>
      <w:r>
        <w:t xml:space="preserve">, </w:t>
      </w:r>
      <w:r w:rsidRPr="004D7125">
        <w:rPr>
          <w:i/>
        </w:rPr>
        <w:t>supra</w:t>
      </w:r>
      <w:r>
        <w:t xml:space="preserve"> note </w:t>
      </w:r>
      <w:r>
        <w:fldChar w:fldCharType="begin"/>
      </w:r>
      <w:r>
        <w:instrText xml:space="preserve"> NOTEREF _Ref508874591 \h </w:instrText>
      </w:r>
      <w:r>
        <w:fldChar w:fldCharType="separate"/>
      </w:r>
      <w:r>
        <w:t>62</w:t>
      </w:r>
      <w:r>
        <w:fldChar w:fldCharType="end"/>
      </w:r>
      <w:r>
        <w:t xml:space="preserve">, at 204.  Courts presently do not allow such provisions.  </w:t>
      </w:r>
      <w:r w:rsidR="00F61711">
        <w:t xml:space="preserve">Restatement (Second) of Contracts § 311 </w:t>
      </w:r>
      <w:proofErr w:type="spellStart"/>
      <w:r w:rsidR="00F61711">
        <w:t>cmt</w:t>
      </w:r>
      <w:proofErr w:type="spellEnd"/>
      <w:r w:rsidR="00F61711">
        <w:t xml:space="preserve">. a (1979); see also </w:t>
      </w:r>
      <w:proofErr w:type="spellStart"/>
      <w:r w:rsidR="00F61711" w:rsidRPr="00F61711">
        <w:rPr>
          <w:i/>
        </w:rPr>
        <w:t>Zumwinkel</w:t>
      </w:r>
      <w:proofErr w:type="spellEnd"/>
      <w:r w:rsidR="00F61711" w:rsidRPr="00F61711">
        <w:rPr>
          <w:i/>
        </w:rPr>
        <w:t xml:space="preserve"> v. Leggett</w:t>
      </w:r>
      <w:r w:rsidR="00F61711">
        <w:t xml:space="preserve">, 345 S.W.2d 89, 93–94 (Mo. 1961); </w:t>
      </w:r>
      <w:r w:rsidR="00F61711" w:rsidRPr="00F61711">
        <w:rPr>
          <w:i/>
        </w:rPr>
        <w:t>Beatty v. Guggenheim Exploration Co.</w:t>
      </w:r>
      <w:r w:rsidR="00F61711">
        <w:t xml:space="preserve">, 122 N.E. 378, 387 (N.Y. 1919); </w:t>
      </w:r>
      <w:r w:rsidR="00F61711" w:rsidRPr="00F61711">
        <w:rPr>
          <w:i/>
        </w:rPr>
        <w:t>Davis v. Payne &amp; Day, Inc.</w:t>
      </w:r>
      <w:r w:rsidR="00F61711">
        <w:t xml:space="preserve">, 348 P.2d 337, 339 (Utah 1960).  </w:t>
      </w:r>
      <w:r>
        <w:t xml:space="preserve">A problem with this solution is that it is extreme: it rules out efficient modifications in response to changed circumstances.  This could be optimal if there were no way to distinguish such efficient modifications from inefficient modifications due to hold-up.  We are not ready to do that as the mechanisms described in Sections </w:t>
      </w:r>
      <w:r>
        <w:fldChar w:fldCharType="begin"/>
      </w:r>
      <w:r>
        <w:instrText xml:space="preserve"> REF _Ref508808300 \w \h </w:instrText>
      </w:r>
      <w:r>
        <w:fldChar w:fldCharType="separate"/>
      </w:r>
      <w:r>
        <w:t>II</w:t>
      </w:r>
      <w:r>
        <w:fldChar w:fldCharType="end"/>
      </w:r>
      <w:r>
        <w:t>.</w:t>
      </w:r>
      <w:r>
        <w:fldChar w:fldCharType="begin"/>
      </w:r>
      <w:r>
        <w:instrText xml:space="preserve"> REF _Ref508874698 \w \h </w:instrText>
      </w:r>
      <w:r>
        <w:fldChar w:fldCharType="separate"/>
      </w:r>
      <w:r>
        <w:t>C</w:t>
      </w:r>
      <w:r>
        <w:fldChar w:fldCharType="end"/>
      </w:r>
      <w:r>
        <w:t xml:space="preserve"> and </w:t>
      </w:r>
      <w:r>
        <w:fldChar w:fldCharType="begin"/>
      </w:r>
      <w:r>
        <w:instrText xml:space="preserve"> REF _Ref508808300 \w \h </w:instrText>
      </w:r>
      <w:r>
        <w:fldChar w:fldCharType="separate"/>
      </w:r>
      <w:r>
        <w:t>II</w:t>
      </w:r>
      <w:r>
        <w:fldChar w:fldCharType="end"/>
      </w:r>
      <w:r>
        <w:t>.</w:t>
      </w:r>
      <w:r>
        <w:fldChar w:fldCharType="begin"/>
      </w:r>
      <w:r>
        <w:instrText xml:space="preserve"> REF _Ref508874728 \w \h </w:instrText>
      </w:r>
      <w:r>
        <w:fldChar w:fldCharType="separate"/>
      </w:r>
      <w:r>
        <w:t>D</w:t>
      </w:r>
      <w:r>
        <w:fldChar w:fldCharType="end"/>
      </w:r>
      <w:r>
        <w:t xml:space="preserve">, if they could be implemented, would allow private parties to do better than pre-committing to no modification ever.  </w:t>
      </w:r>
    </w:p>
  </w:footnote>
  <w:footnote w:id="70">
    <w:p w14:paraId="7EA93435" w14:textId="1E7D2756" w:rsidR="00430DE4" w:rsidRDefault="00430DE4">
      <w:pPr>
        <w:pStyle w:val="FootnoteText"/>
      </w:pPr>
      <w:r>
        <w:rPr>
          <w:rStyle w:val="FootnoteReference"/>
        </w:rPr>
        <w:footnoteRef/>
      </w:r>
      <w:r>
        <w:t xml:space="preserve"> See </w:t>
      </w:r>
      <w:r w:rsidRPr="003C230E">
        <w:rPr>
          <w:i/>
        </w:rPr>
        <w:t>infra</w:t>
      </w:r>
      <w:r>
        <w:t xml:space="preserve"> notes </w:t>
      </w:r>
      <w:r>
        <w:fldChar w:fldCharType="begin"/>
      </w:r>
      <w:r>
        <w:instrText xml:space="preserve"> NOTEREF _Ref508724226 \h </w:instrText>
      </w:r>
      <w:r>
        <w:fldChar w:fldCharType="separate"/>
      </w:r>
      <w:r>
        <w:t>15</w:t>
      </w:r>
      <w:r>
        <w:fldChar w:fldCharType="end"/>
      </w:r>
      <w:r>
        <w:t>-</w:t>
      </w:r>
      <w:r>
        <w:fldChar w:fldCharType="begin"/>
      </w:r>
      <w:r>
        <w:instrText xml:space="preserve"> NOTEREF _Ref508875149 \h </w:instrText>
      </w:r>
      <w:r>
        <w:fldChar w:fldCharType="separate"/>
      </w:r>
      <w:r>
        <w:t>17</w:t>
      </w:r>
      <w:r>
        <w:fldChar w:fldCharType="end"/>
      </w:r>
      <w:r>
        <w:t xml:space="preserve"> and accompanying text. </w:t>
      </w:r>
    </w:p>
  </w:footnote>
  <w:footnote w:id="71">
    <w:p w14:paraId="1512131E" w14:textId="77A975B9" w:rsidR="00430DE4" w:rsidRDefault="00430DE4" w:rsidP="003C230E">
      <w:pPr>
        <w:pStyle w:val="FootnoteText"/>
      </w:pPr>
      <w:r>
        <w:rPr>
          <w:rStyle w:val="FootnoteReference"/>
        </w:rPr>
        <w:footnoteRef/>
      </w:r>
      <w:r>
        <w:t xml:space="preserve"> The lack of comparative advantage in making economic judgments is why, in corporate law for example, courts apply a business judgment rule that asks whether directors have followed a careful process before taking important corporate decisions rather than examining the economic merits of the corporate decision itself.  Frank H. Easterbrook, Comparative Advantage and Antitrust Law, </w:t>
      </w:r>
      <w:r w:rsidRPr="003C230E">
        <w:t>75 CAL. L. REV. 983</w:t>
      </w:r>
      <w:r>
        <w:t>, 894</w:t>
      </w:r>
      <w:r w:rsidRPr="003C230E">
        <w:t xml:space="preserve"> </w:t>
      </w:r>
      <w:r>
        <w:t>(</w:t>
      </w:r>
      <w:r w:rsidRPr="003C230E">
        <w:t>1987</w:t>
      </w:r>
      <w:r>
        <w:t xml:space="preserve">). </w:t>
      </w:r>
    </w:p>
  </w:footnote>
  <w:footnote w:id="72">
    <w:p w14:paraId="6BB40EEE" w14:textId="6203955D" w:rsidR="00430DE4" w:rsidRDefault="00430DE4">
      <w:pPr>
        <w:pStyle w:val="FootnoteText"/>
      </w:pPr>
      <w:r>
        <w:rPr>
          <w:rStyle w:val="FootnoteReference"/>
        </w:rPr>
        <w:footnoteRef/>
      </w:r>
      <w:r>
        <w:t xml:space="preserve"> Because courts do not adjust damages upwards to reflect the probability that they would come to a different (or wrong) conclusion about liability, it is necessarily the case that expected damages are inadequate. See, e.g., A. Mitchell </w:t>
      </w:r>
      <w:proofErr w:type="spellStart"/>
      <w:r>
        <w:t>Polinsky</w:t>
      </w:r>
      <w:proofErr w:type="spellEnd"/>
      <w:r>
        <w:t xml:space="preserve"> and Steven </w:t>
      </w:r>
      <w:proofErr w:type="spellStart"/>
      <w:r>
        <w:t>Shavell</w:t>
      </w:r>
      <w:proofErr w:type="spellEnd"/>
      <w:r>
        <w:t xml:space="preserve">, Punitive Damages: An Economic Analysis, 111 HARV. L. REV. 869, 887 (1998).  </w:t>
      </w:r>
    </w:p>
  </w:footnote>
  <w:footnote w:id="73">
    <w:p w14:paraId="66824C1A" w14:textId="68DE2E98" w:rsidR="00430DE4" w:rsidRDefault="00430DE4">
      <w:pPr>
        <w:pStyle w:val="FootnoteText"/>
      </w:pPr>
      <w:r>
        <w:rPr>
          <w:rStyle w:val="FootnoteReference"/>
        </w:rPr>
        <w:footnoteRef/>
      </w:r>
      <w:r>
        <w:t xml:space="preserve"> See </w:t>
      </w:r>
      <w:r w:rsidRPr="00062F44">
        <w:rPr>
          <w:i/>
        </w:rPr>
        <w:t xml:space="preserve">supra </w:t>
      </w:r>
      <w:r>
        <w:t>text accompanying note 12.</w:t>
      </w:r>
    </w:p>
  </w:footnote>
  <w:footnote w:id="74">
    <w:p w14:paraId="2FAE7D4E" w14:textId="083803C3" w:rsidR="00430DE4" w:rsidRDefault="00430DE4">
      <w:pPr>
        <w:pStyle w:val="FootnoteText"/>
      </w:pPr>
      <w:r>
        <w:rPr>
          <w:rStyle w:val="FootnoteReference"/>
        </w:rPr>
        <w:footnoteRef/>
      </w:r>
      <w:r>
        <w:t xml:space="preserve"> See </w:t>
      </w:r>
      <w:r w:rsidRPr="009F6DD0">
        <w:t>Oliver Hart &amp; John Moore, Property Rights and the Nature of the Firm, 98 J</w:t>
      </w:r>
      <w:r>
        <w:t xml:space="preserve">. POL. ECON. 1119, 1126 (1990); </w:t>
      </w:r>
      <w:proofErr w:type="spellStart"/>
      <w:r>
        <w:t>Aghion</w:t>
      </w:r>
      <w:proofErr w:type="spellEnd"/>
      <w:r>
        <w:t xml:space="preserve"> and Holden, </w:t>
      </w:r>
      <w:r w:rsidRPr="00062F44">
        <w:rPr>
          <w:i/>
        </w:rPr>
        <w:t xml:space="preserve">supra </w:t>
      </w:r>
      <w:r>
        <w:t xml:space="preserve">note </w:t>
      </w:r>
      <w:r>
        <w:fldChar w:fldCharType="begin"/>
      </w:r>
      <w:r>
        <w:instrText xml:space="preserve"> NOTEREF _Ref494640619 \h </w:instrText>
      </w:r>
      <w:r>
        <w:fldChar w:fldCharType="separate"/>
      </w:r>
      <w:r>
        <w:t>43</w:t>
      </w:r>
      <w:r>
        <w:fldChar w:fldCharType="end"/>
      </w:r>
      <w:r>
        <w:t xml:space="preserve">, at 182. </w:t>
      </w:r>
    </w:p>
  </w:footnote>
  <w:footnote w:id="75">
    <w:p w14:paraId="5409D67A" w14:textId="77777777" w:rsidR="00430DE4" w:rsidRDefault="00430DE4">
      <w:pPr>
        <w:pStyle w:val="FootnoteText"/>
      </w:pPr>
      <w:r>
        <w:rPr>
          <w:rStyle w:val="FootnoteReference"/>
        </w:rPr>
        <w:footnoteRef/>
      </w:r>
      <w:r>
        <w:t xml:space="preserve"> We use the term integrating rather than merging here because the term merger may mean something to the contract theory literature than it means in the legal literature.  Scholars in the contract theory literature sometimes worry that merger implies takeover of one firm by another, which is not a necessary condition to obtain the results of operating under the roof of one firm.  The legal literature does not treat merger as the same as acquisition, as indicated by their use of the term “mergers and acquisition” rather than simply “mergers” to describe corporate law rules pertaining to the transformation of two firms into one.  The implication for the legal audience is that we could substitute the term merger for integration in the main text if our only audience were legal scholars.    </w:t>
      </w:r>
    </w:p>
  </w:footnote>
  <w:footnote w:id="76">
    <w:p w14:paraId="1875E88E" w14:textId="187FA8AB" w:rsidR="00430DE4" w:rsidRDefault="00430DE4" w:rsidP="00AF3C6E">
      <w:pPr>
        <w:pStyle w:val="FootnoteText"/>
      </w:pPr>
      <w:r>
        <w:rPr>
          <w:rStyle w:val="FootnoteReference"/>
        </w:rPr>
        <w:footnoteRef/>
      </w:r>
      <w:r>
        <w:t xml:space="preserve"> See Klein </w:t>
      </w:r>
      <w:r w:rsidRPr="00950A42">
        <w:rPr>
          <w:i/>
        </w:rPr>
        <w:t xml:space="preserve">et al. </w:t>
      </w:r>
      <w:r>
        <w:t xml:space="preserve">, </w:t>
      </w:r>
      <w:r w:rsidRPr="00062F44">
        <w:rPr>
          <w:i/>
        </w:rPr>
        <w:t xml:space="preserve">supra </w:t>
      </w:r>
      <w:r>
        <w:t xml:space="preserve">note </w:t>
      </w:r>
      <w:r>
        <w:fldChar w:fldCharType="begin"/>
      </w:r>
      <w:r>
        <w:instrText xml:space="preserve"> NOTEREF _Ref494634243 \h </w:instrText>
      </w:r>
      <w:r>
        <w:fldChar w:fldCharType="separate"/>
      </w:r>
      <w:r>
        <w:t>18</w:t>
      </w:r>
      <w:r>
        <w:fldChar w:fldCharType="end"/>
      </w:r>
      <w:r>
        <w:t xml:space="preserve">, at 302 (explaining the value of long term contracts).  </w:t>
      </w:r>
    </w:p>
  </w:footnote>
  <w:footnote w:id="77">
    <w:p w14:paraId="7E674814" w14:textId="7A183D4B" w:rsidR="00430DE4" w:rsidRDefault="00430DE4">
      <w:pPr>
        <w:pStyle w:val="FootnoteText"/>
      </w:pPr>
      <w:r>
        <w:rPr>
          <w:rStyle w:val="FootnoteReference"/>
        </w:rPr>
        <w:footnoteRef/>
      </w:r>
      <w:r>
        <w:t xml:space="preserve"> With finite period games, the parties have an incentive to hold-up in the last stage.  Given they have that incentive in the last stage, they will also have it in the penultimate stage, which now looks like the final stage.  This process repeats until the value of repeat play evaporates.  Robert Gibbons, GAME THEORY FOR APPLIED ECONOMISTS 82 (1992).   </w:t>
      </w:r>
    </w:p>
  </w:footnote>
  <w:footnote w:id="78">
    <w:p w14:paraId="5B4525D1" w14:textId="6E700374" w:rsidR="00430DE4" w:rsidRDefault="00430DE4">
      <w:pPr>
        <w:pStyle w:val="FootnoteText"/>
      </w:pPr>
      <w:r>
        <w:rPr>
          <w:rStyle w:val="FootnoteReference"/>
        </w:rPr>
        <w:footnoteRef/>
      </w:r>
      <w:r>
        <w:t xml:space="preserve"> In our usage, reputation differs from repeat play because it can rely on shirking – in this case by holding-up – being revealed to other parties that contract with the shirking party, reducing the latter’s gains from trade with other parties.  This distinction between repeat play (sometimes called trust) and reputation is somewhat different than the usual distinction between these concepts in the economics literature. The latter distinction relates repeat play to hidden action and reputation to hidden type.  </w:t>
      </w:r>
    </w:p>
  </w:footnote>
  <w:footnote w:id="79">
    <w:p w14:paraId="06C8BB31" w14:textId="7E4B2FBB" w:rsidR="00430DE4" w:rsidRDefault="00430DE4" w:rsidP="00877CB6">
      <w:pPr>
        <w:pStyle w:val="FootnoteText"/>
      </w:pPr>
      <w:r>
        <w:rPr>
          <w:rStyle w:val="FootnoteReference"/>
        </w:rPr>
        <w:footnoteRef/>
      </w:r>
      <w:r>
        <w:t xml:space="preserve"> </w:t>
      </w:r>
      <w:proofErr w:type="spellStart"/>
      <w:r>
        <w:t>Aghion</w:t>
      </w:r>
      <w:proofErr w:type="spellEnd"/>
      <w:r>
        <w:t xml:space="preserve">, </w:t>
      </w:r>
      <w:r w:rsidRPr="00950A42">
        <w:rPr>
          <w:i/>
        </w:rPr>
        <w:t xml:space="preserve">et al. </w:t>
      </w:r>
      <w:r>
        <w:t xml:space="preserve">, </w:t>
      </w:r>
      <w:r w:rsidRPr="00062F44">
        <w:rPr>
          <w:i/>
        </w:rPr>
        <w:t xml:space="preserve">supra </w:t>
      </w:r>
      <w:r>
        <w:t xml:space="preserve">note </w:t>
      </w:r>
      <w:r>
        <w:fldChar w:fldCharType="begin"/>
      </w:r>
      <w:r>
        <w:instrText xml:space="preserve"> NOTEREF _Ref494634243 \h </w:instrText>
      </w:r>
      <w:r>
        <w:fldChar w:fldCharType="separate"/>
      </w:r>
      <w:r>
        <w:t>18</w:t>
      </w:r>
      <w:r>
        <w:fldChar w:fldCharType="end"/>
      </w:r>
      <w:r>
        <w:t>, at 258</w:t>
      </w:r>
      <w:r w:rsidRPr="00DF3E6C">
        <w:t>.</w:t>
      </w:r>
    </w:p>
  </w:footnote>
  <w:footnote w:id="80">
    <w:p w14:paraId="5DC1E85E" w14:textId="4DBB2F92" w:rsidR="00430DE4" w:rsidRDefault="00430DE4">
      <w:pPr>
        <w:pStyle w:val="FootnoteText"/>
      </w:pPr>
      <w:r>
        <w:rPr>
          <w:rStyle w:val="FootnoteReference"/>
        </w:rPr>
        <w:footnoteRef/>
      </w:r>
      <w:r>
        <w:t xml:space="preserve"> See Moore and </w:t>
      </w:r>
      <w:proofErr w:type="spellStart"/>
      <w:r>
        <w:t>Repullo</w:t>
      </w:r>
      <w:proofErr w:type="spellEnd"/>
      <w:r>
        <w:t xml:space="preserve">, </w:t>
      </w:r>
      <w:r w:rsidRPr="00062F44">
        <w:rPr>
          <w:i/>
        </w:rPr>
        <w:t xml:space="preserve">supra </w:t>
      </w:r>
      <w:r>
        <w:t xml:space="preserve">note </w:t>
      </w:r>
      <w:r>
        <w:fldChar w:fldCharType="begin"/>
      </w:r>
      <w:r>
        <w:instrText xml:space="preserve"> NOTEREF _Ref494634891 \h </w:instrText>
      </w:r>
      <w:r>
        <w:fldChar w:fldCharType="separate"/>
      </w:r>
      <w:r>
        <w:t>41</w:t>
      </w:r>
      <w:r>
        <w:fldChar w:fldCharType="end"/>
      </w:r>
      <w:r>
        <w:t>, at 1196.</w:t>
      </w:r>
    </w:p>
  </w:footnote>
  <w:footnote w:id="81">
    <w:p w14:paraId="72FC465F" w14:textId="77777777" w:rsidR="00430DE4" w:rsidRDefault="00430DE4">
      <w:pPr>
        <w:pStyle w:val="FootnoteText"/>
      </w:pPr>
      <w:r>
        <w:rPr>
          <w:rStyle w:val="FootnoteReference"/>
        </w:rPr>
        <w:footnoteRef/>
      </w:r>
      <w:r>
        <w:t xml:space="preserve"> See </w:t>
      </w:r>
      <w:r w:rsidRPr="00AF3C6E">
        <w:t xml:space="preserve">Gerrit De Geest &amp; Filip </w:t>
      </w:r>
      <w:proofErr w:type="spellStart"/>
      <w:r w:rsidRPr="00AF3C6E">
        <w:t>Wuyts</w:t>
      </w:r>
      <w:proofErr w:type="spellEnd"/>
      <w:r w:rsidRPr="00AF3C6E">
        <w:t>, Penalty clauses</w:t>
      </w:r>
      <w:r>
        <w:t xml:space="preserve"> 141</w:t>
      </w:r>
      <w:r w:rsidRPr="00AF3C6E">
        <w:t>, in ENCYCLOPEDIA OF LAW AND ECONOMICS. 3: THE REGULATION OF CONTRACTS (2000).</w:t>
      </w:r>
      <w:r>
        <w:t xml:space="preserve">  </w:t>
      </w:r>
    </w:p>
  </w:footnote>
  <w:footnote w:id="82">
    <w:p w14:paraId="53249DC0" w14:textId="77777777" w:rsidR="00430DE4" w:rsidRDefault="00430DE4">
      <w:pPr>
        <w:pStyle w:val="FootnoteText"/>
      </w:pPr>
      <w:r>
        <w:rPr>
          <w:rStyle w:val="FootnoteReference"/>
        </w:rPr>
        <w:footnoteRef/>
      </w:r>
      <w:r>
        <w:t xml:space="preserve"> In some cases, the penalty clause may have to be paid to a third party, otherwise it might directly undermine the incentives the mechanism set up for the parties.  For example, if the penalty for negotiating around the third party payment in the revelation mechanism is a penalty paid by one of the parties to another, they would simply account for it in their negotiations over the first payment.</w:t>
      </w:r>
    </w:p>
  </w:footnote>
  <w:footnote w:id="83">
    <w:p w14:paraId="3EC4B6AD" w14:textId="77777777" w:rsidR="00430DE4" w:rsidRDefault="00430DE4">
      <w:pPr>
        <w:pStyle w:val="FootnoteText"/>
      </w:pPr>
      <w:r>
        <w:rPr>
          <w:rStyle w:val="FootnoteReference"/>
        </w:rPr>
        <w:footnoteRef/>
      </w:r>
      <w:r>
        <w:t xml:space="preserve"> </w:t>
      </w:r>
      <w:r w:rsidRPr="00AF3C6E">
        <w:t>EDWARD ALLAN FARNSWORTH, FARNSWORTH ON C</w:t>
      </w:r>
      <w:r>
        <w:t>ONTRACTS</w:t>
      </w:r>
      <w:r w:rsidRPr="00AF3C6E">
        <w:t xml:space="preserve"> </w:t>
      </w:r>
      <w:r>
        <w:t>845</w:t>
      </w:r>
      <w:r w:rsidRPr="00AF3C6E">
        <w:t xml:space="preserve"> (Aspen Publishers. 2003).</w:t>
      </w:r>
    </w:p>
  </w:footnote>
  <w:footnote w:id="84">
    <w:p w14:paraId="1BA0E237" w14:textId="09C07F6C" w:rsidR="00430DE4" w:rsidRDefault="00430DE4">
      <w:pPr>
        <w:pStyle w:val="FootnoteText"/>
      </w:pPr>
      <w:r>
        <w:rPr>
          <w:rStyle w:val="FootnoteReference"/>
        </w:rPr>
        <w:footnoteRef/>
      </w:r>
      <w:r>
        <w:t xml:space="preserve"> </w:t>
      </w:r>
      <w:r w:rsidRPr="00BC1EBF">
        <w:t>William P. Rogerson, Efficient Reliance and Damage Measures for Breach of Contract, 15 R</w:t>
      </w:r>
      <w:r>
        <w:t>AND J. OF ECON. 39, 41 (1984).</w:t>
      </w:r>
    </w:p>
  </w:footnote>
  <w:footnote w:id="85">
    <w:p w14:paraId="061329E2" w14:textId="6A2F959B" w:rsidR="00430DE4" w:rsidRDefault="00430DE4">
      <w:pPr>
        <w:pStyle w:val="FootnoteText"/>
      </w:pPr>
      <w:r>
        <w:rPr>
          <w:rStyle w:val="FootnoteReference"/>
        </w:rPr>
        <w:footnoteRef/>
      </w:r>
      <w:r>
        <w:t xml:space="preserve"> See </w:t>
      </w:r>
      <w:proofErr w:type="spellStart"/>
      <w:r>
        <w:t>Holmstrom</w:t>
      </w:r>
      <w:proofErr w:type="spellEnd"/>
      <w:r>
        <w:t xml:space="preserve">, </w:t>
      </w:r>
      <w:r w:rsidRPr="00062F44">
        <w:rPr>
          <w:i/>
        </w:rPr>
        <w:t xml:space="preserve">supra </w:t>
      </w:r>
      <w:r>
        <w:t xml:space="preserve">note </w:t>
      </w:r>
      <w:r>
        <w:fldChar w:fldCharType="begin"/>
      </w:r>
      <w:r>
        <w:instrText xml:space="preserve"> NOTEREF _Ref494634243 \h </w:instrText>
      </w:r>
      <w:r>
        <w:fldChar w:fldCharType="separate"/>
      </w:r>
      <w:r>
        <w:t>18</w:t>
      </w:r>
      <w:r>
        <w:fldChar w:fldCharType="end"/>
      </w:r>
      <w:r>
        <w:t xml:space="preserve">, at 327 (showing that relaxing the budget breaker yields an efficient Nash equilibrium of the moral hazard in team game).  </w:t>
      </w:r>
    </w:p>
  </w:footnote>
  <w:footnote w:id="86">
    <w:p w14:paraId="283A64AC" w14:textId="732094CB" w:rsidR="00430DE4" w:rsidRDefault="00430DE4">
      <w:pPr>
        <w:pStyle w:val="FootnoteText"/>
      </w:pPr>
      <w:r>
        <w:rPr>
          <w:rStyle w:val="FootnoteReference"/>
        </w:rPr>
        <w:footnoteRef/>
      </w:r>
      <w:r>
        <w:t xml:space="preserve"> </w:t>
      </w:r>
      <w:r w:rsidRPr="00062F44">
        <w:rPr>
          <w:i/>
        </w:rPr>
        <w:t>Id.</w:t>
      </w:r>
      <w:r>
        <w:t xml:space="preserve">  </w:t>
      </w:r>
    </w:p>
  </w:footnote>
  <w:footnote w:id="87">
    <w:p w14:paraId="6334DC58" w14:textId="49873D42" w:rsidR="00430DE4" w:rsidRDefault="00430DE4">
      <w:pPr>
        <w:pStyle w:val="FootnoteText"/>
      </w:pPr>
      <w:r>
        <w:rPr>
          <w:rStyle w:val="FootnoteReference"/>
        </w:rPr>
        <w:footnoteRef/>
      </w:r>
      <w:r>
        <w:t xml:space="preserve"> </w:t>
      </w:r>
      <w:r w:rsidRPr="0006522F">
        <w:t xml:space="preserve">Suzanne S. Dawson, </w:t>
      </w:r>
      <w:proofErr w:type="gramStart"/>
      <w:r w:rsidRPr="00950A42">
        <w:rPr>
          <w:i/>
        </w:rPr>
        <w:t xml:space="preserve">et al. </w:t>
      </w:r>
      <w:r w:rsidRPr="0006522F">
        <w:t>,</w:t>
      </w:r>
      <w:proofErr w:type="gramEnd"/>
      <w:r w:rsidRPr="0006522F">
        <w:t xml:space="preserve"> Poison Pill Defensive Measures</w:t>
      </w:r>
      <w:r>
        <w:t>, 42 THE BUS. LAWYER 423 (1987).</w:t>
      </w:r>
    </w:p>
  </w:footnote>
  <w:footnote w:id="88">
    <w:p w14:paraId="7DF60F34" w14:textId="6A9DF39F" w:rsidR="00430DE4" w:rsidRDefault="00430DE4">
      <w:pPr>
        <w:pStyle w:val="FootnoteText"/>
      </w:pPr>
      <w:r>
        <w:rPr>
          <w:rStyle w:val="FootnoteReference"/>
        </w:rPr>
        <w:footnoteRef/>
      </w:r>
      <w:r>
        <w:t xml:space="preserve"> See </w:t>
      </w:r>
      <w:r w:rsidRPr="002E0E6B">
        <w:rPr>
          <w:i/>
        </w:rPr>
        <w:t xml:space="preserve">infra </w:t>
      </w:r>
      <w:r>
        <w:t xml:space="preserve">Section </w:t>
      </w:r>
      <w:r>
        <w:fldChar w:fldCharType="begin"/>
      </w:r>
      <w:r>
        <w:instrText xml:space="preserve"> REF _Ref494438608 \w \h </w:instrText>
      </w:r>
      <w:r>
        <w:fldChar w:fldCharType="separate"/>
      </w:r>
      <w:r>
        <w:t>V</w:t>
      </w:r>
      <w:r>
        <w:fldChar w:fldCharType="end"/>
      </w:r>
    </w:p>
  </w:footnote>
  <w:footnote w:id="89">
    <w:p w14:paraId="4A1B9869" w14:textId="5D50725B" w:rsidR="00430DE4" w:rsidRDefault="00430DE4" w:rsidP="00A53E63">
      <w:pPr>
        <w:pStyle w:val="FootnoteText"/>
      </w:pPr>
      <w:r>
        <w:rPr>
          <w:rStyle w:val="FootnoteReference"/>
        </w:rPr>
        <w:footnoteRef/>
      </w:r>
      <w:r>
        <w:t xml:space="preserve"> </w:t>
      </w:r>
      <w:r w:rsidRPr="00A53E63">
        <w:t xml:space="preserve">Satoshi </w:t>
      </w:r>
      <w:proofErr w:type="spellStart"/>
      <w:r w:rsidRPr="00A53E63">
        <w:t>Nakamoto</w:t>
      </w:r>
      <w:proofErr w:type="spellEnd"/>
      <w:r w:rsidRPr="00A53E63">
        <w:t>, Bitcoin: A peer-to-peer electronic cash system</w:t>
      </w:r>
      <w:r>
        <w:t xml:space="preserve"> 1, White Paper</w:t>
      </w:r>
      <w:r w:rsidRPr="00A53E63">
        <w:t xml:space="preserve"> (2008).</w:t>
      </w:r>
      <w:r>
        <w:t xml:space="preserve"> </w:t>
      </w:r>
      <w:proofErr w:type="spellStart"/>
      <w:r>
        <w:t>Nakamoto</w:t>
      </w:r>
      <w:proofErr w:type="spellEnd"/>
      <w:r>
        <w:t xml:space="preserve"> is a pseudonym; his or her identity is uncertain.  See Satoshi </w:t>
      </w:r>
      <w:proofErr w:type="spellStart"/>
      <w:r>
        <w:t>Nakamoto</w:t>
      </w:r>
      <w:proofErr w:type="spellEnd"/>
      <w:r>
        <w:t xml:space="preserve">, WIKIPEDIA, available at </w:t>
      </w:r>
      <w:r w:rsidRPr="004D583E">
        <w:t>https://en.wikipedia.org/wiki/Satoshi_Nakamoto</w:t>
      </w:r>
      <w:r>
        <w:t xml:space="preserve"> (last visited on December 20, 2017).  </w:t>
      </w:r>
    </w:p>
  </w:footnote>
  <w:footnote w:id="90">
    <w:p w14:paraId="1FB2D541" w14:textId="41FF6B26" w:rsidR="00430DE4" w:rsidRDefault="00430DE4">
      <w:pPr>
        <w:pStyle w:val="FootnoteText"/>
      </w:pPr>
      <w:r>
        <w:rPr>
          <w:rStyle w:val="FootnoteReference"/>
        </w:rPr>
        <w:footnoteRef/>
      </w:r>
      <w:r>
        <w:t xml:space="preserve"> </w:t>
      </w:r>
      <w:proofErr w:type="spellStart"/>
      <w:r w:rsidRPr="00A53E63">
        <w:t>Vitalik</w:t>
      </w:r>
      <w:proofErr w:type="spellEnd"/>
      <w:r w:rsidRPr="00A53E63">
        <w:t xml:space="preserve"> </w:t>
      </w:r>
      <w:proofErr w:type="spellStart"/>
      <w:r w:rsidRPr="00A53E63">
        <w:t>Buterin</w:t>
      </w:r>
      <w:proofErr w:type="spellEnd"/>
      <w:r w:rsidRPr="00A53E63">
        <w:t>, A next-generation smart contract and decentralized application platform</w:t>
      </w:r>
      <w:r>
        <w:t xml:space="preserve"> 14</w:t>
      </w:r>
      <w:r w:rsidRPr="00A53E63">
        <w:t>, White Paper (2014).</w:t>
      </w:r>
      <w:r>
        <w:t xml:space="preserve"> </w:t>
      </w:r>
    </w:p>
  </w:footnote>
  <w:footnote w:id="91">
    <w:p w14:paraId="2AABE1AD" w14:textId="77777777" w:rsidR="00430DE4" w:rsidRDefault="00430DE4">
      <w:pPr>
        <w:pStyle w:val="FootnoteText"/>
      </w:pPr>
      <w:r>
        <w:rPr>
          <w:rStyle w:val="FootnoteReference"/>
        </w:rPr>
        <w:footnoteRef/>
      </w:r>
      <w:r>
        <w:t xml:space="preserve"> One notable </w:t>
      </w:r>
      <w:r w:rsidRPr="00D44AD9">
        <w:t xml:space="preserve">outsider is a court: if there is a dispute over the </w:t>
      </w:r>
      <w:r>
        <w:t xml:space="preserve">agreement </w:t>
      </w:r>
      <w:r w:rsidRPr="00D44AD9">
        <w:t>and the parties go to court, the witness can help the court resolve issues of fact.</w:t>
      </w:r>
    </w:p>
  </w:footnote>
  <w:footnote w:id="92">
    <w:p w14:paraId="72C8ADA3" w14:textId="43C9E99C" w:rsidR="00430DE4" w:rsidRDefault="00430DE4">
      <w:pPr>
        <w:pStyle w:val="FootnoteText"/>
      </w:pPr>
      <w:r>
        <w:rPr>
          <w:rStyle w:val="FootnoteReference"/>
        </w:rPr>
        <w:footnoteRef/>
      </w:r>
      <w:r>
        <w:t xml:space="preserve"> </w:t>
      </w:r>
      <w:proofErr w:type="spellStart"/>
      <w:r>
        <w:t>Bitinfocharts</w:t>
      </w:r>
      <w:proofErr w:type="spellEnd"/>
      <w:r>
        <w:t xml:space="preserve">, </w:t>
      </w:r>
      <w:r w:rsidRPr="00902380">
        <w:t xml:space="preserve">Bitcoin, </w:t>
      </w:r>
      <w:proofErr w:type="spellStart"/>
      <w:r w:rsidRPr="00902380">
        <w:t>Ethereum</w:t>
      </w:r>
      <w:proofErr w:type="spellEnd"/>
      <w:r w:rsidRPr="00902380">
        <w:t xml:space="preserve"> Transactions historical chart</w:t>
      </w:r>
      <w:r>
        <w:t xml:space="preserve"> (last visited on Oct. 2, 2017), available at </w:t>
      </w:r>
      <w:r w:rsidRPr="00902380">
        <w:t>https://bitinfocharts.com/comparison/transactions-btc-eth.html#3m</w:t>
      </w:r>
      <w:r>
        <w:t xml:space="preserve"> (showing that Bitcoin and </w:t>
      </w:r>
      <w:proofErr w:type="spellStart"/>
      <w:r>
        <w:t>Ethereum</w:t>
      </w:r>
      <w:proofErr w:type="spellEnd"/>
      <w:r>
        <w:t xml:space="preserve"> have equal volume, greater than other cryptocurrency platforms).</w:t>
      </w:r>
    </w:p>
  </w:footnote>
  <w:footnote w:id="93">
    <w:p w14:paraId="0A869FAD" w14:textId="51F23308" w:rsidR="00430DE4" w:rsidRDefault="00430DE4">
      <w:pPr>
        <w:pStyle w:val="FootnoteText"/>
      </w:pPr>
      <w:r>
        <w:rPr>
          <w:rStyle w:val="FootnoteReference"/>
        </w:rPr>
        <w:footnoteRef/>
      </w:r>
      <w:r>
        <w:t xml:space="preserve"> </w:t>
      </w:r>
      <w:proofErr w:type="spellStart"/>
      <w:r>
        <w:t>Nakamoto</w:t>
      </w:r>
      <w:proofErr w:type="spellEnd"/>
      <w:r>
        <w:t xml:space="preserv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 xml:space="preserve">, at 2.  See also Bitcoin.org, Bitcoin Developers Guide (last visited on Oct. 2, 2017), available at </w:t>
      </w:r>
      <w:r w:rsidRPr="0027250A">
        <w:t>https://bitcoin.org/en/developer-guide#block-chain</w:t>
      </w:r>
      <w:r>
        <w:t>.</w:t>
      </w:r>
    </w:p>
  </w:footnote>
  <w:footnote w:id="94">
    <w:p w14:paraId="1EFD7321" w14:textId="476CA926" w:rsidR="00430DE4" w:rsidRDefault="00430DE4" w:rsidP="001E7242">
      <w:pPr>
        <w:pStyle w:val="FootnoteText"/>
      </w:pPr>
      <w:r>
        <w:rPr>
          <w:rStyle w:val="FootnoteReference"/>
        </w:rPr>
        <w:footnoteRef/>
      </w:r>
      <w:r>
        <w:t xml:space="preserve"> </w:t>
      </w:r>
      <w:r w:rsidRPr="00062F44">
        <w:rPr>
          <w:i/>
        </w:rPr>
        <w:t>Id.</w:t>
      </w:r>
      <w:r>
        <w:t xml:space="preserve"> A one-way function is a function where if you know the inputs, you can produce the outputs, but if you only have the outputs, you cannot know for sure the inputs.  Andreas M. </w:t>
      </w:r>
      <w:proofErr w:type="spellStart"/>
      <w:r>
        <w:t>Antonopolous</w:t>
      </w:r>
      <w:proofErr w:type="spellEnd"/>
      <w:r>
        <w:t xml:space="preserve">, </w:t>
      </w:r>
      <w:r w:rsidRPr="009B2AA2">
        <w:t>MASTERING BITCOIN: PROGRAMMING THE OPEN BLOCKCHAIN 2ND EDITION</w:t>
      </w:r>
      <w:r>
        <w:t xml:space="preserve"> 56 (2017).  An example is 2 + 3 = 5.  The inputs are 2 and 3 and the function is addition.  The output is 5.  If you know 2 and 3, you know the output of addition is 5.  But if you know only 5, you cannot know whether the inputs are 2 and 3 or any of the following pairs: (0,5), (5,0), (1,4), (4,1), (3,2).  </w:t>
      </w:r>
    </w:p>
    <w:p w14:paraId="7C368530" w14:textId="36A4F6FE" w:rsidR="00430DE4" w:rsidRDefault="00430DE4" w:rsidP="001E7242">
      <w:pPr>
        <w:pStyle w:val="FootnoteText"/>
        <w:ind w:firstLine="720"/>
      </w:pPr>
      <w:r>
        <w:t>Addition is not the best one-way function for blockchain, as it is also desirable to have a situation where only when A and B present 2 and 3 can they prove that were the ones that spoke.  With addition, A and B could come forward and say they said 1 and 4, and it too would be validated since the sum is 5.  So, the one-way functions are both a one-way and unique mapping from inputs to outputs.  A better example than addition is prime factorization, which is actually used in cryptography.  If I give you a number X and ask you the fewest number of primes that, when multiplied together, yield X, you have a problem that rises quickly in complexity as X increases.  If I tell you a series of primes, you can easy calculate its product X; but if I just give you X, it is very difficult to calculate its prime factorization.</w:t>
      </w:r>
    </w:p>
    <w:p w14:paraId="71A43BF9" w14:textId="6DE36ECB" w:rsidR="00430DE4" w:rsidRDefault="00430DE4" w:rsidP="001E7242">
      <w:pPr>
        <w:pStyle w:val="FootnoteText"/>
        <w:ind w:firstLine="720"/>
      </w:pPr>
      <w:r>
        <w:t xml:space="preserve">A </w:t>
      </w:r>
      <w:proofErr w:type="spellStart"/>
      <w:r>
        <w:t>forme</w:t>
      </w:r>
      <w:proofErr w:type="spellEnd"/>
      <w:r>
        <w:t xml:space="preserve"> of one-way functions used often with blockchain are trap-door functions.  These are one-way functions such that, if you have some secret information (i.e., know the “trap-door”) you can compute the inputs form the outputs.  </w:t>
      </w:r>
    </w:p>
  </w:footnote>
  <w:footnote w:id="95">
    <w:p w14:paraId="1246A1B7" w14:textId="197A34C1" w:rsidR="00430DE4" w:rsidRDefault="00430DE4">
      <w:pPr>
        <w:pStyle w:val="FootnoteText"/>
      </w:pPr>
      <w:r>
        <w:rPr>
          <w:rStyle w:val="FootnoteReference"/>
        </w:rPr>
        <w:footnoteRef/>
      </w:r>
      <w:r>
        <w:t xml:space="preserve"> Id at 227-228. </w:t>
      </w:r>
    </w:p>
  </w:footnote>
  <w:footnote w:id="96">
    <w:p w14:paraId="4AA97DA7" w14:textId="4B58EA97" w:rsidR="00430DE4" w:rsidRDefault="00430DE4">
      <w:pPr>
        <w:pStyle w:val="FootnoteText"/>
      </w:pPr>
      <w:r>
        <w:rPr>
          <w:rStyle w:val="FootnoteReference"/>
        </w:rPr>
        <w:footnoteRef/>
      </w:r>
      <w:r>
        <w:t xml:space="preserve"> </w:t>
      </w:r>
      <w:proofErr w:type="spellStart"/>
      <w:r>
        <w:t>Nakamoto</w:t>
      </w:r>
      <w:proofErr w:type="spellEnd"/>
      <w:r>
        <w:t xml:space="preserv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 xml:space="preserve">, at 2; Bitcoing.org, Bitcoin Developer Guide,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 xml:space="preserve">.  </w:t>
      </w:r>
    </w:p>
  </w:footnote>
  <w:footnote w:id="97">
    <w:p w14:paraId="0712B376" w14:textId="1D067DDE" w:rsidR="00430DE4" w:rsidRDefault="00430DE4" w:rsidP="0027250A">
      <w:pPr>
        <w:pStyle w:val="FootnoteText"/>
      </w:pPr>
      <w:r>
        <w:rPr>
          <w:rStyle w:val="FootnoteReference"/>
        </w:rPr>
        <w:footnoteRef/>
      </w:r>
      <w:r>
        <w:t xml:space="preserve"> </w:t>
      </w:r>
      <w:proofErr w:type="spellStart"/>
      <w:r>
        <w:t>Antonopolous</w:t>
      </w:r>
      <w:proofErr w:type="spellEnd"/>
      <w:r>
        <w:t xml:space="preserve">, </w:t>
      </w:r>
      <w:r w:rsidRPr="00062F44">
        <w:rPr>
          <w:i/>
        </w:rPr>
        <w:t xml:space="preserve">supra </w:t>
      </w:r>
      <w:r>
        <w:t xml:space="preserve">note </w:t>
      </w:r>
      <w:r>
        <w:fldChar w:fldCharType="begin"/>
      </w:r>
      <w:r>
        <w:instrText xml:space="preserve"> NOTEREF _Ref494692620 \h </w:instrText>
      </w:r>
      <w:r>
        <w:fldChar w:fldCharType="separate"/>
      </w:r>
      <w:r>
        <w:t>72</w:t>
      </w:r>
      <w:r>
        <w:fldChar w:fldCharType="end"/>
      </w:r>
      <w:r>
        <w:t xml:space="preserve">, at 2. See also, </w:t>
      </w:r>
      <w:r w:rsidRPr="00062F44">
        <w:rPr>
          <w:i/>
        </w:rPr>
        <w:t>e.g.</w:t>
      </w:r>
      <w:r>
        <w:t xml:space="preserve">, Blockgeeks.com, What is Blockchain Technology? A Step-by-Step Guide </w:t>
      </w:r>
      <w:proofErr w:type="gramStart"/>
      <w:r>
        <w:t>For</w:t>
      </w:r>
      <w:proofErr w:type="gramEnd"/>
      <w:r>
        <w:t xml:space="preserve"> Beginners: An in-depth guide by </w:t>
      </w:r>
      <w:proofErr w:type="spellStart"/>
      <w:r>
        <w:t>BlockGeeks</w:t>
      </w:r>
      <w:proofErr w:type="spellEnd"/>
      <w:r>
        <w:t xml:space="preserve">, available at </w:t>
      </w:r>
      <w:r w:rsidRPr="0027250A">
        <w:t>https://blockgeeks.com/guides/what-is-blockchain-technology/</w:t>
      </w:r>
      <w:r>
        <w:t xml:space="preserve"> (last visited on Oct. 2, 2017).</w:t>
      </w:r>
    </w:p>
  </w:footnote>
  <w:footnote w:id="98">
    <w:p w14:paraId="03D2EEAE" w14:textId="426D774D" w:rsidR="00430DE4" w:rsidRDefault="00430DE4">
      <w:pPr>
        <w:pStyle w:val="FootnoteText"/>
      </w:pPr>
      <w:r>
        <w:rPr>
          <w:rStyle w:val="FootnoteReference"/>
        </w:rPr>
        <w:footnoteRef/>
      </w:r>
      <w:r>
        <w:t xml:space="preserve"> </w:t>
      </w:r>
      <w:r w:rsidRPr="0027250A">
        <w:t xml:space="preserve">Marco </w:t>
      </w:r>
      <w:proofErr w:type="spellStart"/>
      <w:r w:rsidRPr="0027250A">
        <w:t>Iansiti</w:t>
      </w:r>
      <w:proofErr w:type="spellEnd"/>
      <w:r w:rsidRPr="0027250A">
        <w:t xml:space="preserve"> &amp; Karim R Lakhani, The Truth About Blockchain, 95 HARVARD BUSINESS REVIEW </w:t>
      </w:r>
      <w:r>
        <w:t xml:space="preserve">2, 5 </w:t>
      </w:r>
      <w:r w:rsidRPr="0027250A">
        <w:t>(2017).</w:t>
      </w:r>
    </w:p>
  </w:footnote>
  <w:footnote w:id="99">
    <w:p w14:paraId="52A07839" w14:textId="77777777" w:rsidR="00430DE4" w:rsidRDefault="00430DE4" w:rsidP="00CB0C34">
      <w:pPr>
        <w:pStyle w:val="FootnoteText"/>
      </w:pPr>
      <w:r>
        <w:rPr>
          <w:rStyle w:val="FootnoteReference"/>
        </w:rPr>
        <w:footnoteRef/>
      </w:r>
      <w:r>
        <w:t xml:space="preserve"> Of course, there is a marginal cost to D of processing the information about A and D.  We ignore this as that cost is the same regardless of how the information about A and B are generated.  </w:t>
      </w:r>
    </w:p>
  </w:footnote>
  <w:footnote w:id="100">
    <w:p w14:paraId="70647513" w14:textId="26296C76" w:rsidR="00430DE4" w:rsidRDefault="00430DE4">
      <w:pPr>
        <w:pStyle w:val="FootnoteText"/>
      </w:pPr>
      <w:r>
        <w:rPr>
          <w:rStyle w:val="FootnoteReference"/>
        </w:rPr>
        <w:footnoteRef/>
      </w:r>
      <w:r>
        <w:t xml:space="preserve"> </w:t>
      </w:r>
      <w:proofErr w:type="spellStart"/>
      <w:r>
        <w:t>Antonopolous</w:t>
      </w:r>
      <w:proofErr w:type="spellEnd"/>
      <w:r>
        <w:t xml:space="preserve">, </w:t>
      </w:r>
      <w:r w:rsidRPr="00062F44">
        <w:rPr>
          <w:i/>
        </w:rPr>
        <w:t xml:space="preserve">supra </w:t>
      </w:r>
      <w:r>
        <w:t xml:space="preserve">note </w:t>
      </w:r>
      <w:r>
        <w:fldChar w:fldCharType="begin"/>
      </w:r>
      <w:r>
        <w:instrText xml:space="preserve"> NOTEREF _Ref494692620 \h </w:instrText>
      </w:r>
      <w:r>
        <w:fldChar w:fldCharType="separate"/>
      </w:r>
      <w:r>
        <w:t>72</w:t>
      </w:r>
      <w:r>
        <w:fldChar w:fldCharType="end"/>
      </w:r>
      <w:r>
        <w:t>, at 16, 147.</w:t>
      </w:r>
    </w:p>
  </w:footnote>
  <w:footnote w:id="101">
    <w:p w14:paraId="0DCDBC86" w14:textId="7C84CD37" w:rsidR="00430DE4" w:rsidRDefault="00430DE4">
      <w:pPr>
        <w:pStyle w:val="FootnoteText"/>
      </w:pPr>
      <w:r>
        <w:rPr>
          <w:rStyle w:val="FootnoteReference"/>
        </w:rPr>
        <w:footnoteRef/>
      </w:r>
      <w:r>
        <w:t xml:space="preserve"> Id at 217.</w:t>
      </w:r>
    </w:p>
  </w:footnote>
  <w:footnote w:id="102">
    <w:p w14:paraId="44B4020C" w14:textId="21231C25" w:rsidR="00430DE4" w:rsidRDefault="00430DE4">
      <w:pPr>
        <w:pStyle w:val="FootnoteText"/>
      </w:pPr>
      <w:r>
        <w:rPr>
          <w:rStyle w:val="FootnoteReference"/>
        </w:rPr>
        <w:footnoteRef/>
      </w:r>
      <w:r>
        <w:t xml:space="preserve"> Id at 26. </w:t>
      </w:r>
    </w:p>
  </w:footnote>
  <w:footnote w:id="103">
    <w:p w14:paraId="11013034" w14:textId="5DD2569E" w:rsidR="00430DE4" w:rsidRDefault="00430DE4">
      <w:pPr>
        <w:pStyle w:val="FootnoteText"/>
      </w:pPr>
      <w:r>
        <w:rPr>
          <w:rStyle w:val="FootnoteReference"/>
        </w:rPr>
        <w:footnoteRef/>
      </w:r>
      <w:r>
        <w:t xml:space="preserve"> </w:t>
      </w:r>
      <w:proofErr w:type="spellStart"/>
      <w:r>
        <w:t>Nakamoto</w:t>
      </w:r>
      <w:proofErr w:type="spellEnd"/>
      <w:r>
        <w:t xml:space="preserv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 xml:space="preserve">, at 3.  For more detail, see Bitcoing.org, Bitcoin Developer Guide,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w:t>
      </w:r>
    </w:p>
  </w:footnote>
  <w:footnote w:id="104">
    <w:p w14:paraId="71311139" w14:textId="03614BCF" w:rsidR="00430DE4" w:rsidRDefault="00430DE4">
      <w:pPr>
        <w:pStyle w:val="FootnoteText"/>
      </w:pPr>
      <w:r>
        <w:rPr>
          <w:rStyle w:val="FootnoteReference"/>
        </w:rPr>
        <w:footnoteRef/>
      </w:r>
      <w:r>
        <w:t xml:space="preserve"> </w:t>
      </w:r>
      <w:proofErr w:type="spellStart"/>
      <w:r>
        <w:t>Nakamoto</w:t>
      </w:r>
      <w:proofErr w:type="spellEnd"/>
      <w:r>
        <w:t xml:space="preserve">, </w:t>
      </w:r>
      <w:r w:rsidRPr="00062F44">
        <w:rPr>
          <w:i/>
        </w:rPr>
        <w:t xml:space="preserve">supra </w:t>
      </w:r>
      <w:r>
        <w:t xml:space="preserve">note </w:t>
      </w:r>
      <w:r>
        <w:fldChar w:fldCharType="begin"/>
      </w:r>
      <w:r>
        <w:instrText xml:space="preserve"> NOTEREF _Ref494691776 \h </w:instrText>
      </w:r>
      <w:r>
        <w:fldChar w:fldCharType="separate"/>
      </w:r>
      <w:r>
        <w:t>69</w:t>
      </w:r>
      <w:r>
        <w:fldChar w:fldCharType="end"/>
      </w:r>
      <w:r>
        <w:t xml:space="preserve">, at 6-7. </w:t>
      </w:r>
    </w:p>
  </w:footnote>
  <w:footnote w:id="105">
    <w:p w14:paraId="6B2A39AF" w14:textId="0DF4FA10" w:rsidR="00430DE4" w:rsidRDefault="00430DE4">
      <w:pPr>
        <w:pStyle w:val="FootnoteText"/>
      </w:pPr>
      <w:r>
        <w:rPr>
          <w:rStyle w:val="FootnoteReference"/>
        </w:rPr>
        <w:footnoteRef/>
      </w:r>
      <w:r>
        <w:t xml:space="preserve"> See </w:t>
      </w:r>
      <w:proofErr w:type="spellStart"/>
      <w:r>
        <w:t>Vitalik</w:t>
      </w:r>
      <w:proofErr w:type="spellEnd"/>
      <w:r>
        <w:t xml:space="preserve"> </w:t>
      </w:r>
      <w:proofErr w:type="spellStart"/>
      <w:r>
        <w:t>Buterin</w:t>
      </w:r>
      <w:proofErr w:type="spellEnd"/>
      <w:r>
        <w:t xml:space="preserve">, </w:t>
      </w:r>
      <w:r w:rsidRPr="00AA145C">
        <w:t>A Proof of Stake Design Philosophy</w:t>
      </w:r>
      <w:r>
        <w:t xml:space="preserve">, MEDIUM (Dec. 30, 2016), available at </w:t>
      </w:r>
      <w:r w:rsidRPr="00AA145C">
        <w:t>https://medium.com/@VitalikButerin/a-proof-of-stake-design-philosophy-506585978d51</w:t>
      </w:r>
      <w:r>
        <w:t xml:space="preserve"> (last visited on Oct. 2, 2017).</w:t>
      </w:r>
    </w:p>
  </w:footnote>
  <w:footnote w:id="106">
    <w:p w14:paraId="243C52B6" w14:textId="14D92448" w:rsidR="00430DE4" w:rsidRDefault="00430DE4" w:rsidP="00D91DA7">
      <w:pPr>
        <w:pStyle w:val="FootnoteText"/>
      </w:pPr>
      <w:r>
        <w:rPr>
          <w:rStyle w:val="FootnoteReference"/>
        </w:rPr>
        <w:footnoteRef/>
      </w:r>
      <w:r>
        <w:t xml:space="preserve"> </w:t>
      </w:r>
      <w:r w:rsidRPr="00062F44">
        <w:rPr>
          <w:i/>
        </w:rPr>
        <w:t>Id.</w:t>
      </w:r>
    </w:p>
  </w:footnote>
  <w:footnote w:id="107">
    <w:p w14:paraId="6C1C5CC4" w14:textId="091B8957" w:rsidR="00430DE4" w:rsidRDefault="00430DE4" w:rsidP="00CB0C34">
      <w:pPr>
        <w:pStyle w:val="FootnoteText"/>
      </w:pPr>
      <w:r>
        <w:rPr>
          <w:rStyle w:val="FootnoteReference"/>
        </w:rPr>
        <w:footnoteRef/>
      </w:r>
      <w:r>
        <w:t xml:space="preserve"> See Amy Castor, </w:t>
      </w:r>
      <w:proofErr w:type="gramStart"/>
      <w:r w:rsidRPr="008B23A5">
        <w:t>A</w:t>
      </w:r>
      <w:proofErr w:type="gramEnd"/>
      <w:r w:rsidRPr="008B23A5">
        <w:t xml:space="preserve"> (Short) Guide to Blockchain Consensus Protocols</w:t>
      </w:r>
      <w:r>
        <w:t xml:space="preserve">, COINDESK (March 14, 2017), available at </w:t>
      </w:r>
      <w:r w:rsidRPr="008B23A5">
        <w:t>https://www.coindesk.com/short-guide-blockchain-consensus-protocols/</w:t>
      </w:r>
      <w:r>
        <w:t xml:space="preserve"> (last visited on Oct. 2, 2017).  For a more technical description, see </w:t>
      </w:r>
      <w:proofErr w:type="spellStart"/>
      <w:r>
        <w:t>Arati</w:t>
      </w:r>
      <w:proofErr w:type="spellEnd"/>
      <w:r>
        <w:t xml:space="preserve"> </w:t>
      </w:r>
      <w:proofErr w:type="spellStart"/>
      <w:r>
        <w:t>Baliga</w:t>
      </w:r>
      <w:proofErr w:type="spellEnd"/>
      <w:r>
        <w:t xml:space="preserve">, Understanding Blockchain Consensus Models 7-10 (whitepaper), April 2017, available at </w:t>
      </w:r>
      <w:r w:rsidRPr="008B23A5">
        <w:t>https://www.persistent.com/wp-content/uploads/2017/04/WP-Understanding-Blockchain-Consensus-Models.pdf?pdf=Understanding-Blockchain-Consensus-Models</w:t>
      </w:r>
      <w:r>
        <w:t xml:space="preserve"> (last visited on Oct. 2, 2017). </w:t>
      </w:r>
    </w:p>
  </w:footnote>
  <w:footnote w:id="108">
    <w:p w14:paraId="500A1AB3" w14:textId="0838616B" w:rsidR="00430DE4" w:rsidRDefault="00430DE4">
      <w:pPr>
        <w:pStyle w:val="FootnoteText"/>
      </w:pPr>
      <w:r>
        <w:rPr>
          <w:rStyle w:val="FootnoteReference"/>
        </w:rPr>
        <w:footnoteRef/>
      </w:r>
      <w:r>
        <w:t xml:space="preserve"> Id at 5.  </w:t>
      </w:r>
    </w:p>
  </w:footnote>
  <w:footnote w:id="109">
    <w:p w14:paraId="171FC20B" w14:textId="0E61F24D" w:rsidR="00430DE4" w:rsidRDefault="00430DE4">
      <w:pPr>
        <w:pStyle w:val="FootnoteText"/>
      </w:pPr>
      <w:r>
        <w:rPr>
          <w:rStyle w:val="FootnoteReference"/>
        </w:rPr>
        <w:footnoteRef/>
      </w:r>
      <w:r>
        <w:t xml:space="preserve"> This includes individuals trading in illegal goods, such as the seller on the Silk Road website, individuals facing capital controls, as well as individuals facing the risk of expropriation by governments or instability in their countries.  </w:t>
      </w:r>
    </w:p>
  </w:footnote>
  <w:footnote w:id="110">
    <w:p w14:paraId="14C5482D" w14:textId="6572382B" w:rsidR="00430DE4" w:rsidRDefault="00430DE4">
      <w:pPr>
        <w:pStyle w:val="FootnoteText"/>
      </w:pPr>
      <w:r>
        <w:rPr>
          <w:rStyle w:val="FootnoteReference"/>
        </w:rPr>
        <w:footnoteRef/>
      </w:r>
      <w:r>
        <w:t xml:space="preserve"> </w:t>
      </w:r>
      <w:proofErr w:type="spellStart"/>
      <w:r>
        <w:t>Antonopolous</w:t>
      </w:r>
      <w:proofErr w:type="spellEnd"/>
      <w:r>
        <w:t xml:space="preserve">, </w:t>
      </w:r>
      <w:r w:rsidRPr="00062F44">
        <w:rPr>
          <w:i/>
        </w:rPr>
        <w:t xml:space="preserve">supra </w:t>
      </w:r>
      <w:r>
        <w:t xml:space="preserve">note </w:t>
      </w:r>
      <w:r>
        <w:fldChar w:fldCharType="begin"/>
      </w:r>
      <w:r>
        <w:instrText xml:space="preserve"> NOTEREF _Ref494692620 \h </w:instrText>
      </w:r>
      <w:r>
        <w:fldChar w:fldCharType="separate"/>
      </w:r>
      <w:r>
        <w:t>72</w:t>
      </w:r>
      <w:r>
        <w:fldChar w:fldCharType="end"/>
      </w:r>
      <w:r>
        <w:t>, at 57.</w:t>
      </w:r>
    </w:p>
  </w:footnote>
  <w:footnote w:id="111">
    <w:p w14:paraId="78C619AE" w14:textId="604D8D90" w:rsidR="00430DE4" w:rsidRDefault="00430DE4">
      <w:pPr>
        <w:pStyle w:val="FootnoteText"/>
      </w:pPr>
      <w:r>
        <w:rPr>
          <w:rStyle w:val="FootnoteReference"/>
        </w:rPr>
        <w:footnoteRef/>
      </w:r>
      <w:r>
        <w:t xml:space="preserve"> See, </w:t>
      </w:r>
      <w:r w:rsidRPr="00062F44">
        <w:rPr>
          <w:i/>
        </w:rPr>
        <w:t>e.g.</w:t>
      </w:r>
      <w:r>
        <w:t xml:space="preserve">, </w:t>
      </w:r>
      <w:r w:rsidRPr="00AD018B">
        <w:t xml:space="preserve">Joshua </w:t>
      </w:r>
      <w:proofErr w:type="spellStart"/>
      <w:r w:rsidRPr="00AD018B">
        <w:t>Althauser</w:t>
      </w:r>
      <w:proofErr w:type="spellEnd"/>
      <w:r>
        <w:t xml:space="preserve">, </w:t>
      </w:r>
      <w:r w:rsidRPr="00AD018B">
        <w:t>Australian Government Moves to Regulate Cryptocurrency Exchanges</w:t>
      </w:r>
      <w:r>
        <w:t xml:space="preserve">, COINTELEGRAPH (Aug. 18, 2017), available at </w:t>
      </w:r>
      <w:r w:rsidRPr="00EC0807">
        <w:t>https://cointelegraph.com/news/australian-government-moves-to-regulate-cryptocurrency-exchanges</w:t>
      </w:r>
      <w:r>
        <w:t xml:space="preserve"> (last visited on Oct. 2, 2017). </w:t>
      </w:r>
    </w:p>
  </w:footnote>
  <w:footnote w:id="112">
    <w:p w14:paraId="273F9388" w14:textId="0747C3EE" w:rsidR="00430DE4" w:rsidRDefault="00430DE4">
      <w:pPr>
        <w:pStyle w:val="FootnoteText"/>
      </w:pPr>
      <w:r>
        <w:rPr>
          <w:rStyle w:val="FootnoteReference"/>
        </w:rPr>
        <w:footnoteRef/>
      </w:r>
      <w:r>
        <w:t xml:space="preserve"> Tiana Laurence, BLOCKCHAIN FOR DUMMIES 8 (For Dummies 2017).   </w:t>
      </w:r>
    </w:p>
  </w:footnote>
  <w:footnote w:id="113">
    <w:p w14:paraId="3863EDB3" w14:textId="77777777" w:rsidR="00430DE4" w:rsidRDefault="00430DE4" w:rsidP="003776B7">
      <w:pPr>
        <w:pStyle w:val="FootnoteText"/>
      </w:pPr>
      <w:r>
        <w:rPr>
          <w:rStyle w:val="FootnoteReference"/>
        </w:rPr>
        <w:footnoteRef/>
      </w:r>
      <w:r>
        <w:t xml:space="preserve"> Nick Szabo, </w:t>
      </w:r>
      <w:r w:rsidRPr="00372B03">
        <w:t>Smart Contracts: Bui</w:t>
      </w:r>
      <w:r>
        <w:t xml:space="preserve">lding Blocks for Digital Market, Entropy #16, available at </w:t>
      </w:r>
      <w:r w:rsidRPr="00AF59B2">
        <w:t>http://www.fon.hum.uva.nl/rob/Courses/InformationInSpeech/CDROM/Literature/LOTwinterschool2006/szabo.best.vwh.net/smart_contracts_2.html</w:t>
      </w:r>
      <w:r>
        <w:t>.</w:t>
      </w:r>
    </w:p>
  </w:footnote>
  <w:footnote w:id="114">
    <w:p w14:paraId="76C85689" w14:textId="6AB69937" w:rsidR="00430DE4" w:rsidRDefault="00430DE4">
      <w:pPr>
        <w:pStyle w:val="FootnoteText"/>
      </w:pPr>
      <w:r>
        <w:rPr>
          <w:rStyle w:val="FootnoteReference"/>
        </w:rPr>
        <w:footnoteRef/>
      </w:r>
      <w:r>
        <w:t xml:space="preserve"> An example of a scripted contract on the </w:t>
      </w:r>
      <w:proofErr w:type="spellStart"/>
      <w:r>
        <w:t>Ethereum</w:t>
      </w:r>
      <w:proofErr w:type="spellEnd"/>
      <w:r>
        <w:t xml:space="preserve"> network is available at </w:t>
      </w:r>
      <w:r w:rsidRPr="00545B1C">
        <w:t>https://www.ethereum.org/token</w:t>
      </w:r>
      <w:r>
        <w:t xml:space="preserve"> (last visited on Oct. 2, 2017).</w:t>
      </w:r>
    </w:p>
  </w:footnote>
  <w:footnote w:id="115">
    <w:p w14:paraId="6CA2AD5D" w14:textId="115E7A52" w:rsidR="00430DE4" w:rsidRDefault="00430DE4" w:rsidP="003776B7">
      <w:pPr>
        <w:pStyle w:val="FootnoteText"/>
      </w:pPr>
      <w:r>
        <w:rPr>
          <w:rStyle w:val="FootnoteReference"/>
        </w:rPr>
        <w:footnoteRef/>
      </w:r>
      <w:r>
        <w:t xml:space="preserve"> Indeed, smart contracts can be used to create not only real-world contracts but also real world corporations.  One of the original smart contracts on the </w:t>
      </w:r>
      <w:proofErr w:type="spellStart"/>
      <w:r>
        <w:t>Ethereum</w:t>
      </w:r>
      <w:proofErr w:type="spellEnd"/>
      <w:r>
        <w:t xml:space="preserve"> network was the decentralized autonomous organization (DAO).  A DAO is a set of smart contracts that specify the governance, assets and liabilities of a group of people or nodes on a network.  Ian Allison, </w:t>
      </w:r>
      <w:proofErr w:type="spellStart"/>
      <w:r w:rsidRPr="00C64EE4">
        <w:t>Ethereum</w:t>
      </w:r>
      <w:proofErr w:type="spellEnd"/>
      <w:r w:rsidRPr="00C64EE4">
        <w:t xml:space="preserve"> reinvents companies with launch of The DAO</w:t>
      </w:r>
      <w:r>
        <w:t xml:space="preserve">, Apr. 30, 2016, available at </w:t>
      </w:r>
      <w:r w:rsidRPr="00C64EE4">
        <w:t>http://www.ibtimes.co.uk/ethereum-reinvents-companies-launch-dao-1557576</w:t>
      </w:r>
      <w:r>
        <w:t xml:space="preserve">.   </w:t>
      </w:r>
    </w:p>
  </w:footnote>
  <w:footnote w:id="116">
    <w:p w14:paraId="34E4A23D" w14:textId="582765AF" w:rsidR="00430DE4" w:rsidRDefault="00430DE4">
      <w:pPr>
        <w:pStyle w:val="FootnoteText"/>
      </w:pPr>
      <w:r>
        <w:rPr>
          <w:rStyle w:val="FootnoteReference"/>
        </w:rPr>
        <w:footnoteRef/>
      </w:r>
      <w:r>
        <w:t xml:space="preserve"> Josh Stark, </w:t>
      </w:r>
      <w:r w:rsidRPr="00951BF5">
        <w:t>Making Sense of Blockchain Smart Contracts</w:t>
      </w:r>
      <w:r>
        <w:t xml:space="preserve">, COINDESK (June 4, 2016), available at </w:t>
      </w:r>
      <w:r w:rsidRPr="00951BF5">
        <w:t>https://www.coindesk.com/making-sense-smart-contracts/</w:t>
      </w:r>
      <w:r>
        <w:t xml:space="preserve"> (last visited on Oct. 2, 2017).</w:t>
      </w:r>
    </w:p>
  </w:footnote>
  <w:footnote w:id="117">
    <w:p w14:paraId="25609377" w14:textId="70154058" w:rsidR="00430DE4" w:rsidRDefault="00430DE4" w:rsidP="00545B1C">
      <w:pPr>
        <w:pStyle w:val="FootnoteText"/>
      </w:pPr>
      <w:r>
        <w:rPr>
          <w:rStyle w:val="FootnoteReference"/>
        </w:rPr>
        <w:footnoteRef/>
      </w:r>
      <w:r>
        <w:t xml:space="preserve"> </w:t>
      </w:r>
      <w:proofErr w:type="spellStart"/>
      <w:r>
        <w:t>Vitalik</w:t>
      </w:r>
      <w:proofErr w:type="spellEnd"/>
      <w:r>
        <w:t xml:space="preserve"> </w:t>
      </w:r>
      <w:proofErr w:type="spellStart"/>
      <w:r>
        <w:t>Buterin</w:t>
      </w:r>
      <w:proofErr w:type="spellEnd"/>
      <w:r>
        <w:t xml:space="preserve">, </w:t>
      </w:r>
      <w:r w:rsidRPr="0057229A">
        <w:t>A Next Generation Smart Contract &amp; Decentralized Application Platform</w:t>
      </w:r>
      <w:r>
        <w:t xml:space="preserve">: </w:t>
      </w:r>
      <w:proofErr w:type="spellStart"/>
      <w:r>
        <w:t>Ethereum</w:t>
      </w:r>
      <w:proofErr w:type="spellEnd"/>
      <w:r>
        <w:t xml:space="preserve"> Whitepaper 13 (2014), available at </w:t>
      </w:r>
      <w:r w:rsidRPr="0057229A">
        <w:t>http://www.the-blockchain.com/docs/Ethereum_white_paper-a_next_generation_smart_contract_and_decentralized_application_platform-vitalik-buterin.pdf</w:t>
      </w:r>
      <w:r>
        <w:t xml:space="preserve"> (last visited on Oct. 2, 2017).  </w:t>
      </w:r>
    </w:p>
  </w:footnote>
  <w:footnote w:id="118">
    <w:p w14:paraId="38D1CB0C" w14:textId="471C1FF0" w:rsidR="00430DE4" w:rsidRDefault="00430DE4">
      <w:pPr>
        <w:pStyle w:val="FootnoteText"/>
      </w:pPr>
      <w:r>
        <w:rPr>
          <w:rStyle w:val="FootnoteReference"/>
        </w:rPr>
        <w:footnoteRef/>
      </w:r>
      <w:r>
        <w:t xml:space="preserve"> This is similar to the example used by Blockgeeks.com to illustrate what a smart contract is.  See Blockgeeks.com, </w:t>
      </w:r>
      <w:r w:rsidRPr="00545B1C">
        <w:t>A Beginner’s Guide to Smart Contracts</w:t>
      </w:r>
      <w:r>
        <w:t xml:space="preserve">, available at </w:t>
      </w:r>
      <w:r w:rsidRPr="00545B1C">
        <w:t>https://blockgeeks.com/guides/smart-contracts/</w:t>
      </w:r>
      <w:r>
        <w:t xml:space="preserve"> (last visited on Oct. 2, 2017).</w:t>
      </w:r>
    </w:p>
  </w:footnote>
  <w:footnote w:id="119">
    <w:p w14:paraId="78C53EF1" w14:textId="12DAF9ED" w:rsidR="00430DE4" w:rsidRDefault="00430DE4">
      <w:pPr>
        <w:pStyle w:val="FootnoteText"/>
      </w:pPr>
      <w:r>
        <w:rPr>
          <w:rStyle w:val="FootnoteReference"/>
        </w:rPr>
        <w:footnoteRef/>
      </w:r>
      <w:r>
        <w:t xml:space="preserve"> Stark, </w:t>
      </w:r>
      <w:r w:rsidRPr="00062F44">
        <w:rPr>
          <w:i/>
        </w:rPr>
        <w:t xml:space="preserve">supra </w:t>
      </w:r>
      <w:r>
        <w:t xml:space="preserve">note </w:t>
      </w:r>
      <w:r>
        <w:fldChar w:fldCharType="begin"/>
      </w:r>
      <w:r>
        <w:instrText xml:space="preserve"> NOTEREF _Ref494701762 \h </w:instrText>
      </w:r>
      <w:r>
        <w:fldChar w:fldCharType="separate"/>
      </w:r>
      <w:r>
        <w:t>97</w:t>
      </w:r>
      <w:r>
        <w:fldChar w:fldCharType="end"/>
      </w:r>
      <w:r>
        <w:t xml:space="preserve">.  </w:t>
      </w:r>
    </w:p>
  </w:footnote>
  <w:footnote w:id="120">
    <w:p w14:paraId="03BC395B" w14:textId="75AA0C7C" w:rsidR="00430DE4" w:rsidRDefault="00430DE4">
      <w:pPr>
        <w:pStyle w:val="FootnoteText"/>
      </w:pPr>
      <w:r>
        <w:rPr>
          <w:rStyle w:val="FootnoteReference"/>
        </w:rPr>
        <w:footnoteRef/>
      </w:r>
      <w:r>
        <w:t xml:space="preserve"> See </w:t>
      </w:r>
      <w:r w:rsidRPr="00053358">
        <w:t>https://www.legalzoom.com</w:t>
      </w:r>
      <w:r>
        <w:t xml:space="preserve"> (last visited on Oct. 2, 2017).</w:t>
      </w:r>
    </w:p>
  </w:footnote>
  <w:footnote w:id="121">
    <w:p w14:paraId="68678C01" w14:textId="64CF5B56" w:rsidR="00430DE4" w:rsidRDefault="00430DE4" w:rsidP="003776B7">
      <w:pPr>
        <w:pStyle w:val="FootnoteText"/>
      </w:pPr>
      <w:r>
        <w:rPr>
          <w:rStyle w:val="FootnoteReference"/>
        </w:rPr>
        <w:footnoteRef/>
      </w:r>
      <w:r>
        <w:t xml:space="preserve"> Stark, </w:t>
      </w:r>
      <w:r w:rsidRPr="00062F44">
        <w:rPr>
          <w:i/>
        </w:rPr>
        <w:t xml:space="preserve">supra </w:t>
      </w:r>
      <w:r>
        <w:t xml:space="preserve">note </w:t>
      </w:r>
      <w:r>
        <w:fldChar w:fldCharType="begin"/>
      </w:r>
      <w:r>
        <w:instrText xml:space="preserve"> NOTEREF _Ref494701762 \h </w:instrText>
      </w:r>
      <w:r>
        <w:fldChar w:fldCharType="separate"/>
      </w:r>
      <w:r>
        <w:t>97</w:t>
      </w:r>
      <w:r>
        <w:fldChar w:fldCharType="end"/>
      </w:r>
      <w:r>
        <w:t xml:space="preserve">.  It is easy to complicate this example to account for interest.  With interest at a rate of r per day, the smart contract would simply require B to have </w:t>
      </w:r>
      <m:oMath>
        <m:r>
          <w:rPr>
            <w:rFonts w:ascii="Cambria Math" w:hAnsi="Cambria Math"/>
          </w:rPr>
          <m:t>600/</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2</m:t>
            </m:r>
          </m:sup>
        </m:sSup>
        <m:r>
          <w:rPr>
            <w:rFonts w:ascii="Cambria Math" w:hAnsi="Cambria Math"/>
          </w:rPr>
          <m:t>&lt;600</m:t>
        </m:r>
      </m:oMath>
      <w:r>
        <w:rPr>
          <w:rFonts w:eastAsiaTheme="minorEastAsia"/>
        </w:rPr>
        <w:t xml:space="preserve"> rather than 600 in her account on Sept 29.  </w:t>
      </w:r>
    </w:p>
  </w:footnote>
  <w:footnote w:id="122">
    <w:p w14:paraId="266DDDAF" w14:textId="076E6BF1" w:rsidR="00430DE4" w:rsidRDefault="00430DE4">
      <w:pPr>
        <w:pStyle w:val="FootnoteText"/>
      </w:pPr>
      <w:r>
        <w:rPr>
          <w:rStyle w:val="FootnoteReference"/>
        </w:rPr>
        <w:footnoteRef/>
      </w:r>
      <w:r>
        <w:t xml:space="preserve"> See, </w:t>
      </w:r>
      <w:r w:rsidRPr="00062F44">
        <w:rPr>
          <w:i/>
        </w:rPr>
        <w:t>e.g.</w:t>
      </w:r>
      <w:r>
        <w:t xml:space="preserve">, Preston M. </w:t>
      </w:r>
      <w:proofErr w:type="spellStart"/>
      <w:r>
        <w:t>Torbert</w:t>
      </w:r>
      <w:proofErr w:type="spellEnd"/>
      <w:r>
        <w:t xml:space="preserve">, </w:t>
      </w:r>
      <w:r w:rsidRPr="00E75A9F">
        <w:t>A Study of the Risks of Contract Ambiguity</w:t>
      </w:r>
      <w:r>
        <w:t xml:space="preserve">, 2 </w:t>
      </w:r>
      <w:r w:rsidRPr="00E75A9F">
        <w:t>PKU TRANSNATIONAL L</w:t>
      </w:r>
      <w:r>
        <w:t>.</w:t>
      </w:r>
      <w:r w:rsidRPr="00E75A9F">
        <w:t xml:space="preserve"> REV</w:t>
      </w:r>
      <w:r>
        <w:t xml:space="preserve">. 1, 5 (2014), available at </w:t>
      </w:r>
      <w:r w:rsidRPr="007A604D">
        <w:t>http://stl.pku.edu.cn/wp-conte</w:t>
      </w:r>
      <w:r>
        <w:t>`</w:t>
      </w:r>
      <w:r w:rsidRPr="007A604D">
        <w:t>nt/uploads/2014/04/1Torbert_A-Study-of-the-Risks-of-Contract-Ambiguity_20140427.pdf</w:t>
      </w:r>
      <w:r>
        <w:t xml:space="preserve"> (last visited on Oct. 2, 2017).</w:t>
      </w:r>
    </w:p>
  </w:footnote>
  <w:footnote w:id="123">
    <w:p w14:paraId="6DB7E51A" w14:textId="6AFBAAB1" w:rsidR="00430DE4" w:rsidRDefault="00430DE4">
      <w:pPr>
        <w:pStyle w:val="FootnoteText"/>
      </w:pPr>
      <w:r>
        <w:rPr>
          <w:rStyle w:val="FootnoteReference"/>
        </w:rPr>
        <w:footnoteRef/>
      </w:r>
      <w:r>
        <w:t xml:space="preserve"> See Blockgeeks.com, </w:t>
      </w:r>
      <w:r w:rsidRPr="00545B1C">
        <w:t>A Beginner’s Guide to Smart Contracts</w:t>
      </w:r>
      <w:r>
        <w:t xml:space="preserve">, </w:t>
      </w:r>
      <w:r w:rsidRPr="00062F44">
        <w:rPr>
          <w:i/>
        </w:rPr>
        <w:t xml:space="preserve">supra </w:t>
      </w:r>
      <w:r>
        <w:t xml:space="preserve">note </w:t>
      </w:r>
      <w:r>
        <w:fldChar w:fldCharType="begin"/>
      </w:r>
      <w:r>
        <w:instrText xml:space="preserve"> NOTEREF _Ref494700808 \h </w:instrText>
      </w:r>
      <w:r>
        <w:fldChar w:fldCharType="separate"/>
      </w:r>
      <w:r>
        <w:t>99</w:t>
      </w:r>
      <w:r>
        <w:fldChar w:fldCharType="end"/>
      </w:r>
      <w:r>
        <w:t xml:space="preserve"> (citing Bill Marino, </w:t>
      </w:r>
      <w:r w:rsidRPr="005B3E65">
        <w:t>Smart Contracts: The Next Big Blockchain Application</w:t>
      </w:r>
      <w:r>
        <w:t xml:space="preserve">, Dec. 2, 2015, available at </w:t>
      </w:r>
      <w:r w:rsidRPr="005B3E65">
        <w:t>https://tech.cornell.edu/news/smart-contracts-the-next-big-blockchain-application</w:t>
      </w:r>
      <w:r>
        <w:t xml:space="preserve"> (last visited on Oct. 2, 2017)).</w:t>
      </w:r>
    </w:p>
  </w:footnote>
  <w:footnote w:id="124">
    <w:p w14:paraId="6772F680" w14:textId="1F36E33F" w:rsidR="00430DE4" w:rsidRDefault="00430DE4">
      <w:pPr>
        <w:pStyle w:val="FootnoteText"/>
      </w:pPr>
      <w:r w:rsidRPr="006A6DCC">
        <w:rPr>
          <w:rStyle w:val="FootnoteReference"/>
        </w:rPr>
        <w:footnoteRef/>
      </w:r>
      <w:r w:rsidRPr="006A6DCC">
        <w:t xml:space="preserve"> A sandbox is a software developer term for a simulated environment where code can be tested to see if it works or what its impacts might be before it is actually deployed in the real world. </w:t>
      </w:r>
      <w:r>
        <w:t xml:space="preserve">See Sandbox (software development), WIKIPEDIA, available at </w:t>
      </w:r>
      <w:r w:rsidRPr="00053358">
        <w:t>https://en.wikipedia.org/wiki/Sandbox_(software_development)</w:t>
      </w:r>
      <w:r>
        <w:t xml:space="preserve"> (last visited on Oct. 2, 2017)</w:t>
      </w:r>
      <w:r w:rsidRPr="006A6DCC">
        <w:t>.</w:t>
      </w:r>
    </w:p>
  </w:footnote>
  <w:footnote w:id="125">
    <w:p w14:paraId="749B9970" w14:textId="05915C31" w:rsidR="00430DE4" w:rsidRDefault="00430DE4">
      <w:pPr>
        <w:pStyle w:val="FootnoteText"/>
      </w:pPr>
      <w:r>
        <w:rPr>
          <w:rStyle w:val="FootnoteReference"/>
        </w:rPr>
        <w:footnoteRef/>
      </w:r>
      <w:r>
        <w:t xml:space="preserve"> Michael </w:t>
      </w:r>
      <w:proofErr w:type="spellStart"/>
      <w:r>
        <w:t>Gruson</w:t>
      </w:r>
      <w:proofErr w:type="spellEnd"/>
      <w:r>
        <w:t>, Governing Law Clauses in Commercial Agreements—New York’s Approach, 18 COLUMBIA J. OF TRANSNATIONAL LAW 323 (1980).</w:t>
      </w:r>
    </w:p>
  </w:footnote>
  <w:footnote w:id="126">
    <w:p w14:paraId="40677B2B" w14:textId="49197503" w:rsidR="00430DE4" w:rsidRDefault="00430DE4" w:rsidP="003776B7">
      <w:pPr>
        <w:pStyle w:val="FootnoteText"/>
      </w:pPr>
      <w:r>
        <w:rPr>
          <w:rStyle w:val="FootnoteReference"/>
        </w:rPr>
        <w:footnoteRef/>
      </w:r>
      <w:r>
        <w:t xml:space="preserve"> See </w:t>
      </w:r>
      <w:r w:rsidRPr="00EC13BE">
        <w:t xml:space="preserve">Jay </w:t>
      </w:r>
      <w:proofErr w:type="spellStart"/>
      <w:r w:rsidRPr="00EC13BE">
        <w:t>Tidmarsh</w:t>
      </w:r>
      <w:proofErr w:type="spellEnd"/>
      <w:r w:rsidRPr="00EC13BE">
        <w:t>,</w:t>
      </w:r>
      <w:r>
        <w:t xml:space="preserve"> Out of Court, Out of Luck, USNWR (March 19, 2015), available at </w:t>
      </w:r>
      <w:r w:rsidRPr="00EC13BE">
        <w:t>https://www.usnews.com/opinion/economic-intelligence/2015/03/19/consumer-protection-bureau-arbitration-report-provides-much-needed-data</w:t>
      </w:r>
      <w:r>
        <w:t xml:space="preserve">; </w:t>
      </w:r>
      <w:r w:rsidRPr="00FE62A6">
        <w:t xml:space="preserve">Pol </w:t>
      </w:r>
      <w:proofErr w:type="spellStart"/>
      <w:r w:rsidRPr="00FE62A6">
        <w:t>Antràs</w:t>
      </w:r>
      <w:proofErr w:type="spellEnd"/>
      <w:r w:rsidRPr="00FE62A6">
        <w:t xml:space="preserve">, Firms, Contracts, </w:t>
      </w:r>
      <w:r>
        <w:t>a</w:t>
      </w:r>
      <w:r w:rsidRPr="00FE62A6">
        <w:t xml:space="preserve">nd Trade Structure, 118 </w:t>
      </w:r>
      <w:r>
        <w:t>QUARTERLY JOURNAL O</w:t>
      </w:r>
      <w:r w:rsidRPr="00FE62A6">
        <w:t xml:space="preserve">F ECONOMICS </w:t>
      </w:r>
      <w:r>
        <w:t xml:space="preserve">1375 </w:t>
      </w:r>
      <w:r w:rsidRPr="00FE62A6">
        <w:t>(2003).</w:t>
      </w:r>
    </w:p>
  </w:footnote>
  <w:footnote w:id="127">
    <w:p w14:paraId="62EB36CF" w14:textId="743616AE" w:rsidR="00430DE4" w:rsidRDefault="00430DE4">
      <w:pPr>
        <w:pStyle w:val="FootnoteText"/>
      </w:pPr>
      <w:r>
        <w:rPr>
          <w:rStyle w:val="FootnoteReference"/>
        </w:rPr>
        <w:footnoteRef/>
      </w:r>
      <w:r>
        <w:t xml:space="preserve"> Bitcoin, the first application of blockchain, was created to solve the double spending problem.  See </w:t>
      </w:r>
      <w:proofErr w:type="spellStart"/>
      <w:r>
        <w:t>Nakamoto</w:t>
      </w:r>
      <w:proofErr w:type="spellEnd"/>
      <w:r>
        <w:t xml:space="preserve">, </w:t>
      </w:r>
      <w:r w:rsidRPr="00062F44">
        <w:rPr>
          <w:i/>
        </w:rPr>
        <w:t xml:space="preserve">supra </w:t>
      </w:r>
      <w:r>
        <w:t xml:space="preserve">note </w:t>
      </w:r>
      <w:r>
        <w:fldChar w:fldCharType="begin"/>
      </w:r>
      <w:r>
        <w:instrText xml:space="preserve"> NOTEREF _Ref494691776 \h </w:instrText>
      </w:r>
      <w:r>
        <w:fldChar w:fldCharType="separate"/>
      </w:r>
      <w:r>
        <w:t>67</w:t>
      </w:r>
      <w:r>
        <w:fldChar w:fldCharType="end"/>
      </w:r>
      <w:r>
        <w:t>, at 1.</w:t>
      </w:r>
    </w:p>
  </w:footnote>
  <w:footnote w:id="128">
    <w:p w14:paraId="63E13E64" w14:textId="59605D80" w:rsidR="00430DE4" w:rsidRDefault="00430DE4">
      <w:pPr>
        <w:pStyle w:val="FootnoteText"/>
      </w:pPr>
      <w:r>
        <w:rPr>
          <w:rStyle w:val="FootnoteReference"/>
        </w:rPr>
        <w:footnoteRef/>
      </w:r>
      <w:r>
        <w:t xml:space="preserve"> See text accompanying </w:t>
      </w:r>
      <w:r w:rsidRPr="00062F44">
        <w:rPr>
          <w:i/>
        </w:rPr>
        <w:t xml:space="preserve">supra </w:t>
      </w:r>
      <w:r>
        <w:t xml:space="preserve">note </w:t>
      </w:r>
      <w:r>
        <w:fldChar w:fldCharType="begin"/>
      </w:r>
      <w:r>
        <w:instrText xml:space="preserve"> NOTEREF _Ref494707236 \h </w:instrText>
      </w:r>
      <w:r>
        <w:fldChar w:fldCharType="separate"/>
      </w:r>
      <w:r>
        <w:t>64</w:t>
      </w:r>
      <w:r>
        <w:fldChar w:fldCharType="end"/>
      </w:r>
      <w:r>
        <w:t>.</w:t>
      </w:r>
    </w:p>
  </w:footnote>
  <w:footnote w:id="129">
    <w:p w14:paraId="188E2F5B" w14:textId="6E32C643" w:rsidR="00430DE4" w:rsidRDefault="00430DE4">
      <w:pPr>
        <w:pStyle w:val="FootnoteText"/>
      </w:pPr>
      <w:r>
        <w:rPr>
          <w:rStyle w:val="FootnoteReference"/>
        </w:rPr>
        <w:footnoteRef/>
      </w:r>
      <w:r>
        <w:t xml:space="preserve"> </w:t>
      </w:r>
      <w:proofErr w:type="spellStart"/>
      <w:r>
        <w:t>Antonopolous</w:t>
      </w:r>
      <w:proofErr w:type="spellEnd"/>
      <w:r>
        <w:t xml:space="preserve">, </w:t>
      </w:r>
      <w:r w:rsidRPr="00062F44">
        <w:rPr>
          <w:i/>
        </w:rPr>
        <w:t xml:space="preserve">supra </w:t>
      </w:r>
      <w:r>
        <w:t xml:space="preserve">note </w:t>
      </w:r>
      <w:r>
        <w:fldChar w:fldCharType="begin"/>
      </w:r>
      <w:r>
        <w:instrText xml:space="preserve"> NOTEREF _Ref494692620 \h </w:instrText>
      </w:r>
      <w:r>
        <w:fldChar w:fldCharType="separate"/>
      </w:r>
      <w:r>
        <w:t>72</w:t>
      </w:r>
      <w:r>
        <w:fldChar w:fldCharType="end"/>
      </w:r>
      <w:r>
        <w:t xml:space="preserve">, at 17 (explaining how transferring money to a public key for which the private key is publicly known would lead to loss of funds).  </w:t>
      </w:r>
    </w:p>
  </w:footnote>
  <w:footnote w:id="130">
    <w:p w14:paraId="242CA54B" w14:textId="5E338EC8" w:rsidR="00430DE4" w:rsidRDefault="00430DE4">
      <w:pPr>
        <w:pStyle w:val="FootnoteText"/>
      </w:pPr>
      <w:r>
        <w:rPr>
          <w:rStyle w:val="FootnoteReference"/>
        </w:rPr>
        <w:footnoteRef/>
      </w:r>
      <w:r>
        <w:t xml:space="preserve"> See </w:t>
      </w:r>
      <w:proofErr w:type="spellStart"/>
      <w:r>
        <w:t>Ikye</w:t>
      </w:r>
      <w:proofErr w:type="spellEnd"/>
      <w:r>
        <w:t xml:space="preserve"> Aru, </w:t>
      </w:r>
      <w:r w:rsidRPr="0011769A">
        <w:t>Blockchain Transaction Anonymity is Necessary Evil</w:t>
      </w:r>
      <w:r>
        <w:t xml:space="preserve">, COINTELEGRAPH (Apr. 18, 2017), available at </w:t>
      </w:r>
      <w:r w:rsidRPr="0011769A">
        <w:t>https://cointelegraph.com/news/blockchain-transaction-anonymity-is-necessary-evil</w:t>
      </w:r>
      <w:r>
        <w:t xml:space="preserve"> (last visited on Oct. 2, 2017).</w:t>
      </w:r>
    </w:p>
  </w:footnote>
  <w:footnote w:id="131">
    <w:p w14:paraId="7EECA0BA" w14:textId="29E17367" w:rsidR="00430DE4" w:rsidRDefault="00430DE4">
      <w:pPr>
        <w:pStyle w:val="FootnoteText"/>
      </w:pPr>
      <w:r>
        <w:rPr>
          <w:rStyle w:val="FootnoteReference"/>
        </w:rPr>
        <w:footnoteRef/>
      </w:r>
      <w:r>
        <w:t xml:space="preserve"> See, </w:t>
      </w:r>
      <w:r w:rsidRPr="00062F44">
        <w:rPr>
          <w:i/>
        </w:rPr>
        <w:t>e.g.</w:t>
      </w:r>
      <w:r>
        <w:t xml:space="preserve">, U.S. Department of State, Major Money Laundering Countries (Mar. 7, 2012), available at </w:t>
      </w:r>
      <w:r w:rsidRPr="0011769A">
        <w:t xml:space="preserve">https://www.state.gov/j/inl/rls/nrcrpt/2012/vol2/184112.htm </w:t>
      </w:r>
      <w:r>
        <w:t xml:space="preserve">(last visited on Oct. 2, 2017); IRS, List of Approved KYC Rules, available at </w:t>
      </w:r>
      <w:r w:rsidRPr="0011769A">
        <w:t>https://www.irs.gov/businesses/international-businesses/list-of-approved-kyc-rules</w:t>
      </w:r>
      <w:r>
        <w:t xml:space="preserve"> (last visited on Oct. 2, 2017); and PWC, Know Your Customer: Quick Reference Guide (Jan. 2013), available at </w:t>
      </w:r>
      <w:r w:rsidRPr="0011769A">
        <w:t>https://www.pwc.com/gx/en/financial-services/assets/pwc-kyc-anti-money-laundering-guide-2013.pdf</w:t>
      </w:r>
      <w:r>
        <w:t xml:space="preserve"> (last visited on Oct. 2, 2017). </w:t>
      </w:r>
    </w:p>
  </w:footnote>
  <w:footnote w:id="132">
    <w:p w14:paraId="4CCC79F9" w14:textId="081E09F2" w:rsidR="00430DE4" w:rsidRDefault="00430DE4" w:rsidP="00244DC8">
      <w:pPr>
        <w:pStyle w:val="FootnoteText"/>
      </w:pPr>
      <w:r>
        <w:rPr>
          <w:rStyle w:val="FootnoteReference"/>
        </w:rPr>
        <w:footnoteRef/>
      </w:r>
      <w:r>
        <w:t xml:space="preserve"> See Section </w:t>
      </w:r>
      <w:r>
        <w:fldChar w:fldCharType="begin"/>
      </w:r>
      <w:r>
        <w:instrText xml:space="preserve"> REF _Ref494633671 \w \h </w:instrText>
      </w:r>
      <w:r>
        <w:fldChar w:fldCharType="separate"/>
      </w:r>
      <w:r>
        <w:t>IV</w:t>
      </w:r>
      <w:r>
        <w:fldChar w:fldCharType="end"/>
      </w:r>
      <w:r>
        <w:t>.</w:t>
      </w:r>
      <w:r>
        <w:fldChar w:fldCharType="begin"/>
      </w:r>
      <w:r>
        <w:instrText xml:space="preserve"> REF _Ref494707815 \w \h </w:instrText>
      </w:r>
      <w:r>
        <w:fldChar w:fldCharType="separate"/>
      </w:r>
      <w:r>
        <w:t>A</w:t>
      </w:r>
      <w:r>
        <w:fldChar w:fldCharType="end"/>
      </w:r>
      <w:r>
        <w:t>.</w:t>
      </w:r>
      <w:r>
        <w:fldChar w:fldCharType="begin"/>
      </w:r>
      <w:r>
        <w:instrText xml:space="preserve"> REF _Ref494707816 \w \h </w:instrText>
      </w:r>
      <w:r>
        <w:fldChar w:fldCharType="separate"/>
      </w:r>
      <w:r>
        <w:t>3</w:t>
      </w:r>
      <w:r>
        <w:fldChar w:fldCharType="end"/>
      </w:r>
      <w:r>
        <w:t>.</w:t>
      </w:r>
    </w:p>
  </w:footnote>
  <w:footnote w:id="133">
    <w:p w14:paraId="497AAB38" w14:textId="299F5185" w:rsidR="00430DE4" w:rsidRDefault="00430DE4">
      <w:pPr>
        <w:pStyle w:val="FootnoteText"/>
      </w:pPr>
      <w:r>
        <w:rPr>
          <w:rStyle w:val="FootnoteReference"/>
        </w:rPr>
        <w:footnoteRef/>
      </w:r>
      <w:r>
        <w:t xml:space="preserve"> This is not uncommon in long term contract where the end date is not specified.  See, </w:t>
      </w:r>
      <w:r w:rsidRPr="00062F44">
        <w:rPr>
          <w:i/>
        </w:rPr>
        <w:t>e.g.</w:t>
      </w:r>
      <w:r>
        <w:t xml:space="preserve">, </w:t>
      </w:r>
      <w:r w:rsidRPr="0076360A">
        <w:t xml:space="preserve">Susana </w:t>
      </w:r>
      <w:proofErr w:type="spellStart"/>
      <w:r w:rsidRPr="0076360A">
        <w:t>López-Bayón</w:t>
      </w:r>
      <w:proofErr w:type="spellEnd"/>
      <w:r w:rsidRPr="0076360A">
        <w:t xml:space="preserve"> &amp; Manuel González-</w:t>
      </w:r>
      <w:proofErr w:type="spellStart"/>
      <w:r w:rsidRPr="0076360A">
        <w:t>Díaz</w:t>
      </w:r>
      <w:proofErr w:type="spellEnd"/>
      <w:r w:rsidRPr="0076360A">
        <w:t>, Indefinite contract duration: Evidence from electronics subcontracting, 30 INT</w:t>
      </w:r>
      <w:r>
        <w:t>’</w:t>
      </w:r>
      <w:r w:rsidRPr="0076360A">
        <w:t>L REV</w:t>
      </w:r>
      <w:r>
        <w:t>.</w:t>
      </w:r>
      <w:r w:rsidRPr="0076360A">
        <w:t xml:space="preserve"> OF LAW </w:t>
      </w:r>
      <w:r>
        <w:t>&amp;</w:t>
      </w:r>
      <w:r w:rsidRPr="0076360A">
        <w:t xml:space="preserve"> ECON</w:t>
      </w:r>
      <w:r>
        <w:t>.</w:t>
      </w:r>
      <w:r w:rsidRPr="0076360A">
        <w:t xml:space="preserve"> (2010).</w:t>
      </w:r>
    </w:p>
  </w:footnote>
  <w:footnote w:id="134">
    <w:p w14:paraId="2724CCF6" w14:textId="7A5DD93C" w:rsidR="00430DE4" w:rsidRDefault="00430DE4">
      <w:pPr>
        <w:pStyle w:val="FootnoteText"/>
      </w:pPr>
      <w:r>
        <w:rPr>
          <w:rStyle w:val="FootnoteReference"/>
        </w:rPr>
        <w:footnoteRef/>
      </w:r>
      <w:r>
        <w:t xml:space="preserve"> See </w:t>
      </w:r>
      <w:r w:rsidRPr="0018653F">
        <w:t>https://pla</w:t>
      </w:r>
      <w:r w:rsidRPr="00062F44">
        <w:rPr>
          <w:i/>
        </w:rPr>
        <w:t>Id.</w:t>
      </w:r>
      <w:r w:rsidRPr="0018653F">
        <w:t>com/</w:t>
      </w:r>
      <w:r>
        <w:t xml:space="preserve"> for an example of how this might work.  For more information on other similar services, see this thread on stack overflow: </w:t>
      </w:r>
      <w:r w:rsidRPr="0018653F">
        <w:t>https://stackoverflow.com/questions/7269668/is-there-an-api-to-get-bank-transaction-and-bank-balance</w:t>
      </w:r>
      <w:r>
        <w:t xml:space="preserve"> (last visited on Oct. 2, 2017) (noting that Yodlee.com and Mint.com do the same, though banks may charge a few to access the API).  </w:t>
      </w:r>
    </w:p>
  </w:footnote>
  <w:footnote w:id="135">
    <w:p w14:paraId="5CED0553" w14:textId="77777777" w:rsidR="00430DE4" w:rsidRDefault="00430DE4">
      <w:pPr>
        <w:pStyle w:val="FootnoteText"/>
      </w:pPr>
      <w:r>
        <w:rPr>
          <w:rStyle w:val="FootnoteReference"/>
        </w:rPr>
        <w:footnoteRef/>
      </w:r>
      <w:r>
        <w:t xml:space="preserve"> If one of the parties did not, then the other party would not want to enter the contract with that party.  As a result, the party that considered not giving access would give access because ex ante they would benefit from the contract, even at the cost of giving access.  Especially since access to the smart contract is not the same as public access, as the smart contract would not share the messages or account information with anyone, even counterparties.</w:t>
      </w:r>
    </w:p>
  </w:footnote>
  <w:footnote w:id="136">
    <w:p w14:paraId="09F794D7" w14:textId="7EF53AC4" w:rsidR="00430DE4" w:rsidRDefault="00430DE4">
      <w:pPr>
        <w:pStyle w:val="FootnoteText"/>
      </w:pPr>
      <w:r>
        <w:rPr>
          <w:rStyle w:val="FootnoteReference"/>
        </w:rPr>
        <w:footnoteRef/>
      </w:r>
      <w:r>
        <w:t xml:space="preserve"> Various email providers, </w:t>
      </w:r>
      <w:r w:rsidRPr="00062F44">
        <w:rPr>
          <w:i/>
        </w:rPr>
        <w:t>e.g.</w:t>
      </w:r>
      <w:r>
        <w:t xml:space="preserve">, Google, allow API access to email, but typically only for the owner of the account, not third parties, including smart contracts.  For google see </w:t>
      </w:r>
      <w:r w:rsidRPr="008439AC">
        <w:t>https://developers.google.com/gmail/api/</w:t>
      </w:r>
      <w:r>
        <w:t xml:space="preserve"> (last visited on Oct. 2, 2017</w:t>
      </w:r>
      <w:proofErr w:type="gramStart"/>
      <w:r>
        <w:t>);  more</w:t>
      </w:r>
      <w:proofErr w:type="gramEnd"/>
      <w:r>
        <w:t xml:space="preserve"> general see also </w:t>
      </w:r>
      <w:r w:rsidRPr="008439AC">
        <w:t>https://context.io/</w:t>
      </w:r>
      <w:r>
        <w:t xml:space="preserve">.  However, if there is demand for this, there is no technical barrier to it.  In any case, the account owner can provide the smart contract script this power.  This is no different than an IFTTT (acronym for if this then that) script that signals to third parties the actions of an account owner.  For IFTTT examples with Gmail as an input, see </w:t>
      </w:r>
      <w:r w:rsidRPr="008439AC">
        <w:t>https://ifttt.com/gmail</w:t>
      </w:r>
      <w:r>
        <w:t>.</w:t>
      </w:r>
    </w:p>
  </w:footnote>
  <w:footnote w:id="137">
    <w:p w14:paraId="69E7426A" w14:textId="42E0A126" w:rsidR="00430DE4" w:rsidRDefault="00430DE4">
      <w:pPr>
        <w:pStyle w:val="FootnoteText"/>
      </w:pPr>
      <w:r>
        <w:rPr>
          <w:rStyle w:val="FootnoteReference"/>
        </w:rPr>
        <w:footnoteRef/>
      </w:r>
      <w:r>
        <w:t xml:space="preserve"> See, </w:t>
      </w:r>
      <w:r w:rsidRPr="00062F44">
        <w:rPr>
          <w:i/>
        </w:rPr>
        <w:t>e.g.</w:t>
      </w:r>
      <w:r>
        <w:t xml:space="preserve">, Timothy B. Lee, </w:t>
      </w:r>
      <w:proofErr w:type="gramStart"/>
      <w:r w:rsidRPr="008439AC">
        <w:t>It</w:t>
      </w:r>
      <w:proofErr w:type="gramEnd"/>
      <w:r w:rsidRPr="008439AC">
        <w:t xml:space="preserve"> looks like China is shutting down its blockchain economy</w:t>
      </w:r>
      <w:r>
        <w:t xml:space="preserve">, ARSTECHNICA (Sept. 15, 2017), available at </w:t>
      </w:r>
      <w:r w:rsidRPr="008439AC">
        <w:t>https://arstechnica.com/tech-policy/2017/09/china-may-be-getting-ready-to-ban-bitcoin/</w:t>
      </w:r>
      <w:r>
        <w:t xml:space="preserve"> (last visited on Oct. 2, 2017) (noting that China has shut down cryptocurrency exchanges).  However, this does not mean all blockchain networks are banned in China.  </w:t>
      </w:r>
    </w:p>
  </w:footnote>
  <w:footnote w:id="138">
    <w:p w14:paraId="2DA97FA5" w14:textId="3FCC44DC" w:rsidR="00430DE4" w:rsidRDefault="00430DE4">
      <w:pPr>
        <w:pStyle w:val="FootnoteText"/>
      </w:pPr>
      <w:r>
        <w:rPr>
          <w:rStyle w:val="FootnoteReference"/>
        </w:rPr>
        <w:footnoteRef/>
      </w:r>
      <w:r>
        <w:t xml:space="preserve"> See Jon </w:t>
      </w:r>
      <w:proofErr w:type="spellStart"/>
      <w:r>
        <w:t>Matonis</w:t>
      </w:r>
      <w:proofErr w:type="spellEnd"/>
      <w:r>
        <w:t xml:space="preserve">, </w:t>
      </w:r>
      <w:r w:rsidRPr="008439AC">
        <w:t>Government Ban On Bitcoin Would Fail Miserably</w:t>
      </w:r>
      <w:r>
        <w:t xml:space="preserve">, FORBES (Jan. 28, 2013), available at </w:t>
      </w:r>
      <w:r w:rsidRPr="008439AC">
        <w:t>https://www.forbes.com/sites/jonmatonis/2013/01/28/government-ban-on-bitcoin-would-fail-miserably/#5d5e61c61d25</w:t>
      </w:r>
      <w:r>
        <w:t xml:space="preserve"> (last visited on Oct. 2, 2017).</w:t>
      </w:r>
    </w:p>
  </w:footnote>
  <w:footnote w:id="139">
    <w:p w14:paraId="5093A197" w14:textId="1883AFA1" w:rsidR="00430DE4" w:rsidRDefault="00430DE4">
      <w:pPr>
        <w:pStyle w:val="FootnoteText"/>
      </w:pPr>
      <w:r>
        <w:rPr>
          <w:rStyle w:val="FootnoteReference"/>
        </w:rPr>
        <w:footnoteRef/>
      </w:r>
      <w:r>
        <w:t xml:space="preserve"> See Farnsworth, </w:t>
      </w:r>
      <w:r w:rsidRPr="00062F44">
        <w:rPr>
          <w:i/>
        </w:rPr>
        <w:t xml:space="preserve">supra </w:t>
      </w:r>
      <w:r>
        <w:t xml:space="preserve">note </w:t>
      </w:r>
      <w:r>
        <w:fldChar w:fldCharType="begin"/>
      </w:r>
      <w:r>
        <w:instrText xml:space="preserve"> NOTEREF _Ref494713680 \h </w:instrText>
      </w:r>
      <w:r>
        <w:fldChar w:fldCharType="separate"/>
      </w:r>
      <w:r>
        <w:t>21</w:t>
      </w:r>
      <w:r>
        <w:fldChar w:fldCharType="end"/>
      </w:r>
      <w:r>
        <w:t xml:space="preserve">, at 845.  </w:t>
      </w:r>
    </w:p>
  </w:footnote>
  <w:footnote w:id="140">
    <w:p w14:paraId="0BF21FCA" w14:textId="412EEBD8" w:rsidR="00430DE4" w:rsidRDefault="00430DE4">
      <w:pPr>
        <w:pStyle w:val="FootnoteText"/>
      </w:pPr>
      <w:r>
        <w:rPr>
          <w:rStyle w:val="FootnoteReference"/>
        </w:rPr>
        <w:footnoteRef/>
      </w:r>
      <w:r>
        <w:t xml:space="preserve"> </w:t>
      </w:r>
      <w:r w:rsidRPr="00E27686">
        <w:t xml:space="preserve">R. </w:t>
      </w:r>
      <w:proofErr w:type="spellStart"/>
      <w:r w:rsidRPr="00E27686">
        <w:t>Selten</w:t>
      </w:r>
      <w:proofErr w:type="spellEnd"/>
      <w:r w:rsidRPr="00E27686">
        <w:t>, Reexamination of the perfectness concept for equilibrium points in extensive games, 4 INT</w:t>
      </w:r>
      <w:r>
        <w:t>’L J. OF GAME THEORY 25, 38 (1975).</w:t>
      </w:r>
    </w:p>
  </w:footnote>
  <w:footnote w:id="141">
    <w:p w14:paraId="62BA4BAB" w14:textId="6855D5DD" w:rsidR="00430DE4" w:rsidRDefault="00430DE4">
      <w:pPr>
        <w:pStyle w:val="FootnoteText"/>
      </w:pPr>
      <w:r>
        <w:rPr>
          <w:rStyle w:val="FootnoteReference"/>
        </w:rPr>
        <w:footnoteRef/>
      </w:r>
      <w:r>
        <w:t xml:space="preserve"> See </w:t>
      </w:r>
      <w:proofErr w:type="spellStart"/>
      <w:r>
        <w:t>Aghion</w:t>
      </w:r>
      <w:proofErr w:type="spellEnd"/>
      <w:r>
        <w:t xml:space="preserve"> </w:t>
      </w:r>
      <w:r w:rsidRPr="00950A42">
        <w:rPr>
          <w:i/>
        </w:rPr>
        <w:t xml:space="preserve">et al. </w:t>
      </w:r>
      <w:r>
        <w:t xml:space="preserve">, </w:t>
      </w:r>
      <w:r w:rsidRPr="00062F44">
        <w:rPr>
          <w:i/>
        </w:rPr>
        <w:t xml:space="preserve">supra </w:t>
      </w:r>
      <w:r>
        <w:t xml:space="preserve">note </w:t>
      </w:r>
      <w:r>
        <w:fldChar w:fldCharType="begin"/>
      </w:r>
      <w:r>
        <w:instrText xml:space="preserve"> NOTEREF _Ref502138012 \h </w:instrText>
      </w:r>
      <w:r>
        <w:fldChar w:fldCharType="separate"/>
      </w:r>
      <w:r>
        <w:t>49</w:t>
      </w:r>
      <w:r>
        <w:fldChar w:fldCharType="end"/>
      </w:r>
      <w:r>
        <w:t xml:space="preserve">, at 27.  </w:t>
      </w:r>
    </w:p>
  </w:footnote>
  <w:footnote w:id="142">
    <w:p w14:paraId="2F971540" w14:textId="70FB3AC4" w:rsidR="00430DE4" w:rsidRDefault="00430DE4">
      <w:pPr>
        <w:pStyle w:val="FootnoteText"/>
      </w:pPr>
      <w:r>
        <w:rPr>
          <w:rStyle w:val="FootnoteReference"/>
        </w:rPr>
        <w:footnoteRef/>
      </w:r>
      <w:r>
        <w:t xml:space="preserve"> </w:t>
      </w:r>
      <w:r w:rsidRPr="00452D28">
        <w:t>Oliver E. Williamson, Transaction-Cost Economics: The Governance of Contractual Relations, 22 THE J</w:t>
      </w:r>
      <w:r>
        <w:t>.</w:t>
      </w:r>
      <w:r w:rsidRPr="00452D28">
        <w:t xml:space="preserve"> LAW &amp; ECON</w:t>
      </w:r>
      <w:r>
        <w:t>.</w:t>
      </w:r>
      <w:r w:rsidRPr="00452D28">
        <w:t xml:space="preserve"> </w:t>
      </w:r>
      <w:r>
        <w:t xml:space="preserve">233 </w:t>
      </w:r>
      <w:r w:rsidRPr="00452D28">
        <w:t>(1979).</w:t>
      </w:r>
    </w:p>
  </w:footnote>
  <w:footnote w:id="143">
    <w:p w14:paraId="1FF5BD4F" w14:textId="764FF695" w:rsidR="00430DE4" w:rsidRDefault="00430DE4" w:rsidP="00F2786F">
      <w:pPr>
        <w:pStyle w:val="FootnoteText"/>
      </w:pPr>
      <w:r>
        <w:rPr>
          <w:rStyle w:val="FootnoteReference"/>
        </w:rPr>
        <w:footnoteRef/>
      </w:r>
      <w:r>
        <w:t xml:space="preserve"> More generally, see </w:t>
      </w:r>
      <w:r w:rsidRPr="0076360A">
        <w:t xml:space="preserve">R.H. </w:t>
      </w:r>
      <w:proofErr w:type="spellStart"/>
      <w:r w:rsidRPr="0076360A">
        <w:t>Coase</w:t>
      </w:r>
      <w:proofErr w:type="spellEnd"/>
      <w:r w:rsidRPr="0076360A">
        <w:t xml:space="preserve">, The nature of the firm, 4 ECONOMICA </w:t>
      </w:r>
      <w:r>
        <w:t xml:space="preserve">386, 388 </w:t>
      </w:r>
      <w:r w:rsidRPr="0076360A">
        <w:t>(1937).</w:t>
      </w:r>
      <w:r>
        <w:t xml:space="preserve">  For an example of how technology can have this effect, see </w:t>
      </w:r>
      <w:r w:rsidRPr="00D92B7A">
        <w:t>George P. Baker &amp; Thomas N. Hubbard, Contractibility and Asset Ownership: On-Board Computers and Governance in U. S. Trucking, 119 Q</w:t>
      </w:r>
      <w:r>
        <w:t>.</w:t>
      </w:r>
      <w:r w:rsidRPr="00D92B7A">
        <w:t xml:space="preserve"> J</w:t>
      </w:r>
      <w:r>
        <w:t>.</w:t>
      </w:r>
      <w:r w:rsidRPr="00D92B7A">
        <w:t xml:space="preserve"> ECON</w:t>
      </w:r>
      <w:r>
        <w:t>.</w:t>
      </w:r>
      <w:r w:rsidRPr="00D92B7A">
        <w:t xml:space="preserve"> </w:t>
      </w:r>
      <w:r>
        <w:t xml:space="preserve">1443 </w:t>
      </w:r>
      <w:r w:rsidRPr="00D92B7A">
        <w:t>(2004).</w:t>
      </w:r>
      <w:r>
        <w:t xml:space="preserve">  </w:t>
      </w:r>
    </w:p>
  </w:footnote>
  <w:footnote w:id="144">
    <w:p w14:paraId="0376D8E0" w14:textId="06D0D953" w:rsidR="00430DE4" w:rsidRDefault="00430DE4">
      <w:pPr>
        <w:pStyle w:val="FootnoteText"/>
      </w:pPr>
      <w:r>
        <w:rPr>
          <w:rStyle w:val="FootnoteReference"/>
        </w:rPr>
        <w:footnoteRef/>
      </w:r>
      <w:r>
        <w:t xml:space="preserve"> </w:t>
      </w:r>
      <w:proofErr w:type="spellStart"/>
      <w:r>
        <w:t>Antonopolous</w:t>
      </w:r>
      <w:proofErr w:type="spellEnd"/>
      <w:r>
        <w:t xml:space="preserve">, </w:t>
      </w:r>
      <w:r w:rsidRPr="00062F44">
        <w:rPr>
          <w:i/>
        </w:rPr>
        <w:t xml:space="preserve">supra </w:t>
      </w:r>
      <w:r>
        <w:t xml:space="preserve">note </w:t>
      </w:r>
      <w:r>
        <w:fldChar w:fldCharType="begin"/>
      </w:r>
      <w:r>
        <w:instrText xml:space="preserve"> NOTEREF _Ref494692620 \h </w:instrText>
      </w:r>
      <w:r>
        <w:fldChar w:fldCharType="separate"/>
      </w:r>
      <w:r>
        <w:t>72</w:t>
      </w:r>
      <w:r>
        <w:fldChar w:fldCharType="end"/>
      </w:r>
      <w:r>
        <w:t xml:space="preserve">, at 4.  </w:t>
      </w:r>
    </w:p>
  </w:footnote>
  <w:footnote w:id="145">
    <w:p w14:paraId="316C3F8A" w14:textId="286F22BF" w:rsidR="00430DE4" w:rsidRDefault="00430DE4" w:rsidP="00F2786F">
      <w:pPr>
        <w:pStyle w:val="FootnoteText"/>
      </w:pPr>
      <w:r>
        <w:rPr>
          <w:rStyle w:val="FootnoteReference"/>
        </w:rPr>
        <w:footnoteRef/>
      </w:r>
      <w:r>
        <w:t xml:space="preserve"> </w:t>
      </w:r>
      <w:r w:rsidRPr="00062F44">
        <w:rPr>
          <w:i/>
        </w:rPr>
        <w:t>E.g.</w:t>
      </w:r>
      <w:r>
        <w:t xml:space="preserve">, perhaps the counterparty negotiated around it off the blockchain.  </w:t>
      </w:r>
    </w:p>
  </w:footnote>
  <w:footnote w:id="146">
    <w:p w14:paraId="405D7997" w14:textId="47EBA719" w:rsidR="00430DE4" w:rsidRDefault="00430DE4" w:rsidP="00614A32">
      <w:pPr>
        <w:pStyle w:val="FootnoteText"/>
      </w:pPr>
      <w:r>
        <w:rPr>
          <w:rStyle w:val="FootnoteReference"/>
        </w:rPr>
        <w:footnoteRef/>
      </w:r>
      <w:r>
        <w:t xml:space="preserve"> See, </w:t>
      </w:r>
      <w:r w:rsidRPr="00062F44">
        <w:rPr>
          <w:i/>
        </w:rPr>
        <w:t>e.g.</w:t>
      </w:r>
      <w:r>
        <w:t xml:space="preserve">, </w:t>
      </w:r>
      <w:r w:rsidRPr="00372385">
        <w:t xml:space="preserve">Scott Baker &amp; Anup Malani, Trial Court Budgets, the Enforcer's Dilemma, and the Rule of Law, </w:t>
      </w:r>
      <w:r>
        <w:t xml:space="preserve">2014 </w:t>
      </w:r>
      <w:r w:rsidRPr="00372385">
        <w:t>U. ILL. L. R</w:t>
      </w:r>
      <w:r>
        <w:t xml:space="preserve">EV. 1573, 1577 (2014). </w:t>
      </w:r>
    </w:p>
  </w:footnote>
  <w:footnote w:id="147">
    <w:p w14:paraId="07F3D95E" w14:textId="743D8DB4" w:rsidR="00430DE4" w:rsidRDefault="00430DE4">
      <w:pPr>
        <w:pStyle w:val="FootnoteText"/>
      </w:pPr>
      <w:r>
        <w:rPr>
          <w:rStyle w:val="FootnoteReference"/>
        </w:rPr>
        <w:footnoteRef/>
      </w:r>
      <w:r>
        <w:t xml:space="preserve"> See, </w:t>
      </w:r>
      <w:r w:rsidRPr="00062F44">
        <w:rPr>
          <w:i/>
        </w:rPr>
        <w:t>e.g.</w:t>
      </w:r>
      <w:r>
        <w:t xml:space="preserve">, </w:t>
      </w:r>
      <w:r w:rsidRPr="00372385">
        <w:t>Christopher Tarver Robertson, Blind</w:t>
      </w:r>
      <w:r>
        <w:t xml:space="preserve"> expertise, 85 NYU L. REV. 174, 177 (2010).  </w:t>
      </w:r>
    </w:p>
  </w:footnote>
  <w:footnote w:id="148">
    <w:p w14:paraId="457585FC" w14:textId="30DE67D5" w:rsidR="00430DE4" w:rsidRDefault="00430DE4">
      <w:pPr>
        <w:pStyle w:val="FootnoteText"/>
      </w:pPr>
      <w:r>
        <w:rPr>
          <w:rStyle w:val="FootnoteReference"/>
        </w:rPr>
        <w:footnoteRef/>
      </w:r>
      <w:r>
        <w:t xml:space="preserve"> This is not actually perfect because, even if everyone makes their contracts public, there may be selection into who actually writes provisions that covers specific circumstances.  However, it is true that blockchain reduces one layer of selection – namely selection into litigation.  </w:t>
      </w:r>
    </w:p>
  </w:footnote>
  <w:footnote w:id="149">
    <w:p w14:paraId="0BE74573" w14:textId="50471BAD" w:rsidR="00430DE4" w:rsidRDefault="00430DE4">
      <w:pPr>
        <w:pStyle w:val="FootnoteText"/>
      </w:pPr>
      <w:r>
        <w:rPr>
          <w:rStyle w:val="FootnoteReference"/>
        </w:rPr>
        <w:footnoteRef/>
      </w:r>
      <w:r>
        <w:t xml:space="preserve"> </w:t>
      </w:r>
      <w:r w:rsidRPr="00CF1905">
        <w:t>Frank H</w:t>
      </w:r>
      <w:r>
        <w:t>.</w:t>
      </w:r>
      <w:r w:rsidRPr="00CF1905">
        <w:t xml:space="preserve"> Easterbrook, Cyberspace and the Law of the Horse, U. CHI. LEGAL F. </w:t>
      </w:r>
      <w:r>
        <w:t xml:space="preserve">207 </w:t>
      </w:r>
      <w:r w:rsidRPr="00CF1905">
        <w:t>(1996).</w:t>
      </w:r>
    </w:p>
  </w:footnote>
  <w:footnote w:id="150">
    <w:p w14:paraId="535CE4D4" w14:textId="6A675021" w:rsidR="00430DE4" w:rsidRDefault="00430DE4" w:rsidP="00752C53">
      <w:pPr>
        <w:pStyle w:val="FootnoteText"/>
      </w:pPr>
      <w:r>
        <w:rPr>
          <w:rStyle w:val="FootnoteReference"/>
        </w:rPr>
        <w:footnoteRef/>
      </w:r>
      <w:r>
        <w:t xml:space="preserve"> This includes </w:t>
      </w:r>
      <w:r w:rsidRPr="00EE0CFD">
        <w:t>Bank of America Merrill Lynch, Wells Fargo, Citigroup, TD Bank, BBVA, Bank of New York Mellon, Northern Tr</w:t>
      </w:r>
      <w:r>
        <w:t xml:space="preserve">ust, HSBC, Barclays, UBS, Intel and </w:t>
      </w:r>
      <w:proofErr w:type="spellStart"/>
      <w:r w:rsidRPr="00EE0CFD">
        <w:t>Temasek</w:t>
      </w:r>
      <w:proofErr w:type="spellEnd"/>
      <w:r>
        <w:t xml:space="preserve">, which are part of the R3 consortium (see Penny Crossman, Banks pour $107M into blockchain consortium R3, American Banker (May 23, 2017), available at </w:t>
      </w:r>
      <w:r w:rsidRPr="00CF1905">
        <w:t>https://www.americanbanker.com/news/banks-pour-107m-into-blockchain-consortium-r3</w:t>
      </w:r>
      <w:r>
        <w:t xml:space="preserve"> (last visited on Oct. 2, 2017)); Accenture, American Express, Cisco, </w:t>
      </w:r>
      <w:proofErr w:type="spellStart"/>
      <w:r>
        <w:t>Diamler</w:t>
      </w:r>
      <w:proofErr w:type="spellEnd"/>
      <w:r>
        <w:t xml:space="preserve">, Fujitsu, IBM, NEC, and SAP in the </w:t>
      </w:r>
      <w:proofErr w:type="spellStart"/>
      <w:r>
        <w:t>Hyperledger</w:t>
      </w:r>
      <w:proofErr w:type="spellEnd"/>
      <w:r>
        <w:t xml:space="preserve"> consortium (see </w:t>
      </w:r>
      <w:r w:rsidRPr="00CF1905">
        <w:t>https://www.hyperledger.org/members</w:t>
      </w:r>
      <w:r>
        <w:t xml:space="preserve">); and BBVA, BP, Deloitte, ING, Infosys, J.P. Morgan, </w:t>
      </w:r>
      <w:proofErr w:type="spellStart"/>
      <w:r>
        <w:t>Mastercard</w:t>
      </w:r>
      <w:proofErr w:type="spellEnd"/>
      <w:r>
        <w:t xml:space="preserve">, Microsoft, Samsung, Santander, Scotiabank, Thomson Reuters and UBS that are part of the Enterprise </w:t>
      </w:r>
      <w:proofErr w:type="spellStart"/>
      <w:r>
        <w:t>Ethereum</w:t>
      </w:r>
      <w:proofErr w:type="spellEnd"/>
      <w:r>
        <w:t xml:space="preserve"> Alliance (see </w:t>
      </w:r>
      <w:r w:rsidRPr="00CF1905">
        <w:t>https://entethalliance.org/members/</w:t>
      </w:r>
      <w:r>
        <w:t>).</w:t>
      </w:r>
    </w:p>
  </w:footnote>
  <w:footnote w:id="151">
    <w:p w14:paraId="4C2D2CD4" w14:textId="4C891152" w:rsidR="00430DE4" w:rsidRDefault="00430DE4">
      <w:pPr>
        <w:pStyle w:val="FootnoteText"/>
      </w:pPr>
      <w:r>
        <w:rPr>
          <w:rStyle w:val="FootnoteReference"/>
        </w:rPr>
        <w:footnoteRef/>
      </w:r>
      <w:r>
        <w:t xml:space="preserve"> See </w:t>
      </w:r>
      <w:r w:rsidRPr="00750420">
        <w:t xml:space="preserve">Bitcoin and </w:t>
      </w:r>
      <w:proofErr w:type="spellStart"/>
      <w:r w:rsidRPr="00750420">
        <w:t>Ethereum</w:t>
      </w:r>
      <w:proofErr w:type="spellEnd"/>
      <w:r w:rsidRPr="00750420">
        <w:t xml:space="preserve"> vs Visa and PayPal – Transactions per second</w:t>
      </w:r>
      <w:r>
        <w:t xml:space="preserve">, Altcointoday.com (April 22, 2017), available at: </w:t>
      </w:r>
      <w:r w:rsidRPr="00750420">
        <w:t>http://www.altcointoday.com/bitcoin-ethereum-vs-visa-paypal-transactions-per-second/</w:t>
      </w:r>
      <w:r>
        <w:t xml:space="preserve"> (last visited on October 2, 2017); </w:t>
      </w:r>
      <w:r w:rsidRPr="00C75087">
        <w:t xml:space="preserve">Bitcoin, </w:t>
      </w:r>
      <w:proofErr w:type="spellStart"/>
      <w:r w:rsidRPr="00C75087">
        <w:t>Ethereum</w:t>
      </w:r>
      <w:proofErr w:type="spellEnd"/>
      <w:r w:rsidRPr="00C75087">
        <w:t xml:space="preserve">, </w:t>
      </w:r>
      <w:proofErr w:type="spellStart"/>
      <w:r w:rsidRPr="00C75087">
        <w:t>Litecoin</w:t>
      </w:r>
      <w:proofErr w:type="spellEnd"/>
      <w:r w:rsidRPr="00C75087">
        <w:t xml:space="preserve">, </w:t>
      </w:r>
      <w:proofErr w:type="spellStart"/>
      <w:r w:rsidRPr="00C75087">
        <w:t>Dogecoin</w:t>
      </w:r>
      <w:proofErr w:type="spellEnd"/>
      <w:r w:rsidRPr="00C75087">
        <w:t xml:space="preserve"> Transactions historical chart</w:t>
      </w:r>
      <w:r>
        <w:t xml:space="preserve">, Bitinfocharts.com, available at: </w:t>
      </w:r>
      <w:r w:rsidRPr="00C75087">
        <w:t>https://bitinfocharts.com/comparison/transactions-btc-eth-ltc-doge.html</w:t>
      </w:r>
      <w:r>
        <w:t xml:space="preserve"> (last visited on December 27, 2017).   </w:t>
      </w:r>
    </w:p>
  </w:footnote>
  <w:footnote w:id="152">
    <w:p w14:paraId="5C68A2DF" w14:textId="1906C241" w:rsidR="00430DE4" w:rsidRDefault="00430DE4">
      <w:pPr>
        <w:pStyle w:val="FootnoteText"/>
      </w:pPr>
      <w:r>
        <w:rPr>
          <w:rStyle w:val="FootnoteReference"/>
        </w:rPr>
        <w:footnoteRef/>
      </w:r>
      <w:r>
        <w:t xml:space="preserve"> Arjun </w:t>
      </w:r>
      <w:proofErr w:type="spellStart"/>
      <w:r>
        <w:t>Kharpal</w:t>
      </w:r>
      <w:proofErr w:type="spellEnd"/>
      <w:r>
        <w:t xml:space="preserve">, </w:t>
      </w:r>
      <w:r w:rsidRPr="00CF1905">
        <w:t>Initial coin offerings have raised $1.2 billion and now surpass early stage VC funding</w:t>
      </w:r>
      <w:r>
        <w:t xml:space="preserve">, CNBC (Aug. 9, 2017), available at </w:t>
      </w:r>
      <w:r w:rsidRPr="00CF1905">
        <w:t>https://www.cnbc.com/2017/08/09/initial-coin-offerings-surpass-early-stage-venture-capital-funding.html</w:t>
      </w:r>
      <w:r>
        <w:t xml:space="preserve"> (last visited on Oct. 2, 2017).</w:t>
      </w:r>
    </w:p>
  </w:footnote>
  <w:footnote w:id="153">
    <w:p w14:paraId="1F3111F2" w14:textId="1D4F4531" w:rsidR="00430DE4" w:rsidRDefault="00430DE4">
      <w:pPr>
        <w:pStyle w:val="FootnoteText"/>
      </w:pPr>
      <w:r>
        <w:rPr>
          <w:rStyle w:val="FootnoteReference"/>
        </w:rPr>
        <w:footnoteRef/>
      </w:r>
      <w:r>
        <w:t xml:space="preserve"> </w:t>
      </w:r>
      <w:proofErr w:type="spellStart"/>
      <w:r>
        <w:t>Noldeke</w:t>
      </w:r>
      <w:proofErr w:type="spellEnd"/>
      <w:r>
        <w:t xml:space="preserve"> and Schmidt, </w:t>
      </w:r>
      <w:r w:rsidRPr="00062F44">
        <w:rPr>
          <w:i/>
        </w:rPr>
        <w:t xml:space="preserve">supra </w:t>
      </w:r>
      <w:r>
        <w:t xml:space="preserve">note </w:t>
      </w:r>
      <w:r>
        <w:fldChar w:fldCharType="begin"/>
      </w:r>
      <w:r>
        <w:instrText xml:space="preserve"> NOTEREF _Ref494644984 \h </w:instrText>
      </w:r>
      <w:r>
        <w:fldChar w:fldCharType="separate"/>
      </w:r>
      <w:r>
        <w:t>20</w:t>
      </w:r>
      <w:r>
        <w:fldChar w:fldCharType="end"/>
      </w:r>
      <w:r>
        <w:t>, at 168-171.</w:t>
      </w:r>
    </w:p>
  </w:footnote>
  <w:footnote w:id="154">
    <w:p w14:paraId="72C4A78A" w14:textId="71B6645D" w:rsidR="00430DE4" w:rsidRDefault="00430DE4" w:rsidP="00A12C16">
      <w:pPr>
        <w:pStyle w:val="FootnoteText"/>
      </w:pPr>
      <w:r>
        <w:rPr>
          <w:rStyle w:val="FootnoteReference"/>
        </w:rPr>
        <w:footnoteRef/>
      </w:r>
      <w:r>
        <w:t xml:space="preserve"> We follow Bolton and </w:t>
      </w:r>
      <w:proofErr w:type="spellStart"/>
      <w:r>
        <w:t>Dewatripont</w:t>
      </w:r>
      <w:proofErr w:type="spellEnd"/>
      <w:r>
        <w:t xml:space="preserve">, </w:t>
      </w:r>
      <w:r w:rsidRPr="00062F44">
        <w:rPr>
          <w:i/>
        </w:rPr>
        <w:t xml:space="preserve">supra </w:t>
      </w:r>
      <w:r>
        <w:t xml:space="preserve">note </w:t>
      </w:r>
      <w:r>
        <w:fldChar w:fldCharType="begin"/>
      </w:r>
      <w:r>
        <w:instrText xml:space="preserve"> NOTEREF _Ref494645043 \h </w:instrText>
      </w:r>
      <w:r>
        <w:fldChar w:fldCharType="separate"/>
      </w:r>
      <w:r>
        <w:t>5</w:t>
      </w:r>
      <w:r>
        <w:fldChar w:fldCharType="end"/>
      </w:r>
      <w:r>
        <w:t>, at chapter 12, closely here.</w:t>
      </w:r>
    </w:p>
  </w:footnote>
  <w:footnote w:id="155">
    <w:p w14:paraId="7748861F" w14:textId="7E72BEC1" w:rsidR="00430DE4" w:rsidRDefault="00430DE4">
      <w:pPr>
        <w:pStyle w:val="FootnoteText"/>
      </w:pPr>
      <w:r>
        <w:rPr>
          <w:rStyle w:val="FootnoteReference"/>
        </w:rPr>
        <w:footnoteRef/>
      </w:r>
      <w:r>
        <w:t xml:space="preserve"> </w:t>
      </w:r>
      <w:proofErr w:type="spellStart"/>
      <w:r>
        <w:t>Noldeke</w:t>
      </w:r>
      <w:proofErr w:type="spellEnd"/>
      <w:r>
        <w:t xml:space="preserve"> and Schmidt, </w:t>
      </w:r>
      <w:r w:rsidRPr="00062F44">
        <w:rPr>
          <w:i/>
        </w:rPr>
        <w:t xml:space="preserve">supra </w:t>
      </w:r>
      <w:r>
        <w:t xml:space="preserve">note </w:t>
      </w:r>
      <w:r>
        <w:fldChar w:fldCharType="begin"/>
      </w:r>
      <w:r>
        <w:instrText xml:space="preserve"> NOTEREF _Ref494644984 \h </w:instrText>
      </w:r>
      <w:r>
        <w:fldChar w:fldCharType="separate"/>
      </w:r>
      <w:r>
        <w:t>20</w:t>
      </w:r>
      <w:r>
        <w:fldChar w:fldCharType="end"/>
      </w:r>
      <w:r>
        <w:t>, at 165.</w:t>
      </w:r>
    </w:p>
  </w:footnote>
  <w:footnote w:id="156">
    <w:p w14:paraId="5EDE93F1" w14:textId="77777777" w:rsidR="00430DE4" w:rsidRDefault="00430DE4" w:rsidP="00430DE4">
      <w:pPr>
        <w:pStyle w:val="FootnoteText"/>
      </w:pPr>
      <w:r>
        <w:rPr>
          <w:rStyle w:val="FootnoteReference"/>
        </w:rPr>
        <w:footnoteRef/>
      </w:r>
      <w:r>
        <w:t xml:space="preserve"> </w:t>
      </w:r>
      <w:r w:rsidRPr="00B52AD1">
        <w:t xml:space="preserve">John Moore &amp; Rafael </w:t>
      </w:r>
      <w:proofErr w:type="spellStart"/>
      <w:r w:rsidRPr="00B52AD1">
        <w:t>Repullo</w:t>
      </w:r>
      <w:proofErr w:type="spellEnd"/>
      <w:r w:rsidRPr="00B52AD1">
        <w:t xml:space="preserve">, Subgame Perfect Implementation, 56 ECONOMETRICA </w:t>
      </w:r>
      <w:r>
        <w:t xml:space="preserve">1191, 1208, 1212 </w:t>
      </w:r>
      <w:r w:rsidRPr="00B52AD1">
        <w:t>(1988).</w:t>
      </w:r>
    </w:p>
  </w:footnote>
  <w:footnote w:id="157">
    <w:p w14:paraId="066ECA1F" w14:textId="77777777" w:rsidR="00430DE4" w:rsidRDefault="00430DE4" w:rsidP="00430DE4">
      <w:pPr>
        <w:pStyle w:val="FootnoteText"/>
      </w:pPr>
      <w:r>
        <w:rPr>
          <w:rStyle w:val="FootnoteReference"/>
        </w:rPr>
        <w:footnoteRef/>
      </w:r>
      <w:r>
        <w:t xml:space="preserve"> See also Moore &amp; </w:t>
      </w:r>
      <w:proofErr w:type="spellStart"/>
      <w:r>
        <w:t>Repullo</w:t>
      </w:r>
      <w:proofErr w:type="spellEnd"/>
      <w:r>
        <w:t xml:space="preserve">, </w:t>
      </w:r>
      <w:r w:rsidRPr="00062F44">
        <w:rPr>
          <w:i/>
        </w:rPr>
        <w:t xml:space="preserve">supra </w:t>
      </w:r>
      <w:r>
        <w:t xml:space="preserve">note </w:t>
      </w:r>
      <w:r>
        <w:fldChar w:fldCharType="begin"/>
      </w:r>
      <w:r>
        <w:instrText xml:space="preserve"> NOTEREF _Ref494634891 \h </w:instrText>
      </w:r>
      <w:r>
        <w:fldChar w:fldCharType="separate"/>
      </w:r>
      <w:r>
        <w:t>41</w:t>
      </w:r>
      <w:r>
        <w:fldChar w:fldCharType="end"/>
      </w:r>
      <w:r>
        <w:t xml:space="preserve">, at 1196.  </w:t>
      </w:r>
    </w:p>
  </w:footnote>
  <w:footnote w:id="158">
    <w:p w14:paraId="634CB724" w14:textId="77777777" w:rsidR="00430DE4" w:rsidRDefault="00430DE4" w:rsidP="00430DE4">
      <w:pPr>
        <w:pStyle w:val="FootnoteText"/>
      </w:pPr>
      <w:r>
        <w:rPr>
          <w:rStyle w:val="FootnoteReference"/>
        </w:rPr>
        <w:footnoteRef/>
      </w:r>
      <w:r>
        <w:t xml:space="preserve"> </w:t>
      </w:r>
      <w:r w:rsidRPr="004851AE">
        <w:t xml:space="preserve">Philippe </w:t>
      </w:r>
      <w:proofErr w:type="spellStart"/>
      <w:r w:rsidRPr="004851AE">
        <w:t>Aghion</w:t>
      </w:r>
      <w:proofErr w:type="spellEnd"/>
      <w:r w:rsidRPr="004851AE">
        <w:t xml:space="preserve"> &amp; Richard Holden, Incomplete Contracts and the Theory of the Firm: What Have We Learned over the Past 25 </w:t>
      </w:r>
      <w:proofErr w:type="gramStart"/>
      <w:r w:rsidRPr="004851AE">
        <w:t>Years?,</w:t>
      </w:r>
      <w:proofErr w:type="gramEnd"/>
      <w:r w:rsidRPr="004851AE">
        <w:t xml:space="preserve"> 25 J</w:t>
      </w:r>
      <w:r>
        <w:t>.</w:t>
      </w:r>
      <w:r w:rsidRPr="004851AE">
        <w:t xml:space="preserve"> OF ECON</w:t>
      </w:r>
      <w:r>
        <w:t>.</w:t>
      </w:r>
      <w:r w:rsidRPr="004851AE">
        <w:t xml:space="preserve"> PERSPECTIVES </w:t>
      </w:r>
      <w:r>
        <w:t xml:space="preserve">181, 191 </w:t>
      </w:r>
      <w:r w:rsidRPr="004851AE">
        <w:t>(2011).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0451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250A2"/>
    <w:multiLevelType w:val="hybridMultilevel"/>
    <w:tmpl w:val="3ED28F86"/>
    <w:lvl w:ilvl="0" w:tplc="67F8260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7631"/>
    <w:multiLevelType w:val="hybridMultilevel"/>
    <w:tmpl w:val="6D2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705D"/>
    <w:multiLevelType w:val="hybridMultilevel"/>
    <w:tmpl w:val="EEA6D422"/>
    <w:lvl w:ilvl="0" w:tplc="4D74AC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D6E5F"/>
    <w:multiLevelType w:val="hybridMultilevel"/>
    <w:tmpl w:val="010A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0C4C"/>
    <w:multiLevelType w:val="hybridMultilevel"/>
    <w:tmpl w:val="907E987E"/>
    <w:lvl w:ilvl="0" w:tplc="9A486C2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627D7"/>
    <w:multiLevelType w:val="hybridMultilevel"/>
    <w:tmpl w:val="7090E57C"/>
    <w:lvl w:ilvl="0" w:tplc="B8E84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708E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8383A"/>
    <w:multiLevelType w:val="hybridMultilevel"/>
    <w:tmpl w:val="945876B0"/>
    <w:lvl w:ilvl="0" w:tplc="D9728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5B01"/>
    <w:multiLevelType w:val="hybridMultilevel"/>
    <w:tmpl w:val="0D0604A6"/>
    <w:lvl w:ilvl="0" w:tplc="21C856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65807"/>
    <w:multiLevelType w:val="multilevel"/>
    <w:tmpl w:val="31CCD034"/>
    <w:lvl w:ilvl="0">
      <w:start w:val="6"/>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3290082B"/>
    <w:multiLevelType w:val="hybridMultilevel"/>
    <w:tmpl w:val="653A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32F3A"/>
    <w:multiLevelType w:val="hybridMultilevel"/>
    <w:tmpl w:val="4A68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15AB2"/>
    <w:multiLevelType w:val="hybridMultilevel"/>
    <w:tmpl w:val="140A349A"/>
    <w:lvl w:ilvl="0" w:tplc="5C4C49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960EF"/>
    <w:multiLevelType w:val="hybridMultilevel"/>
    <w:tmpl w:val="196A812C"/>
    <w:lvl w:ilvl="0" w:tplc="3D646F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D3776"/>
    <w:multiLevelType w:val="hybridMultilevel"/>
    <w:tmpl w:val="E730A474"/>
    <w:lvl w:ilvl="0" w:tplc="44A4C8D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E3949"/>
    <w:multiLevelType w:val="hybridMultilevel"/>
    <w:tmpl w:val="CCEAC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A4EBA"/>
    <w:multiLevelType w:val="hybridMultilevel"/>
    <w:tmpl w:val="4F5E35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F37D28"/>
    <w:multiLevelType w:val="hybridMultilevel"/>
    <w:tmpl w:val="A828B560"/>
    <w:lvl w:ilvl="0" w:tplc="9E54A5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8A3D76"/>
    <w:multiLevelType w:val="hybridMultilevel"/>
    <w:tmpl w:val="BB36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57E3D"/>
    <w:multiLevelType w:val="hybridMultilevel"/>
    <w:tmpl w:val="B6A6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F1431"/>
    <w:multiLevelType w:val="hybridMultilevel"/>
    <w:tmpl w:val="976E05DC"/>
    <w:lvl w:ilvl="0" w:tplc="08D650A4">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634CA3"/>
    <w:multiLevelType w:val="hybridMultilevel"/>
    <w:tmpl w:val="8A02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3C71F6"/>
    <w:multiLevelType w:val="hybridMultilevel"/>
    <w:tmpl w:val="E46CB188"/>
    <w:lvl w:ilvl="0" w:tplc="E6782C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2"/>
  </w:num>
  <w:num w:numId="3">
    <w:abstractNumId w:val="17"/>
  </w:num>
  <w:num w:numId="4">
    <w:abstractNumId w:val="15"/>
  </w:num>
  <w:num w:numId="5">
    <w:abstractNumId w:val="20"/>
  </w:num>
  <w:num w:numId="6">
    <w:abstractNumId w:val="19"/>
  </w:num>
  <w:num w:numId="7">
    <w:abstractNumId w:val="6"/>
  </w:num>
  <w:num w:numId="8">
    <w:abstractNumId w:val="16"/>
  </w:num>
  <w:num w:numId="9">
    <w:abstractNumId w:val="13"/>
  </w:num>
  <w:num w:numId="10">
    <w:abstractNumId w:val="18"/>
  </w:num>
  <w:num w:numId="11">
    <w:abstractNumId w:val="7"/>
  </w:num>
  <w:num w:numId="12">
    <w:abstractNumId w:val="7"/>
    <w:lvlOverride w:ilvl="0">
      <w:startOverride w:val="1"/>
    </w:lvlOverride>
  </w:num>
  <w:num w:numId="13">
    <w:abstractNumId w:val="7"/>
    <w:lvlOverride w:ilvl="0">
      <w:startOverride w:val="1"/>
    </w:lvlOverride>
  </w:num>
  <w:num w:numId="14">
    <w:abstractNumId w:val="2"/>
  </w:num>
  <w:num w:numId="15">
    <w:abstractNumId w:val="10"/>
  </w:num>
  <w:num w:numId="16">
    <w:abstractNumId w:val="11"/>
  </w:num>
  <w:num w:numId="17">
    <w:abstractNumId w:val="4"/>
  </w:num>
  <w:num w:numId="18">
    <w:abstractNumId w:val="8"/>
  </w:num>
  <w:num w:numId="19">
    <w:abstractNumId w:val="1"/>
  </w:num>
  <w:num w:numId="20">
    <w:abstractNumId w:val="14"/>
  </w:num>
  <w:num w:numId="21">
    <w:abstractNumId w:val="3"/>
  </w:num>
  <w:num w:numId="22">
    <w:abstractNumId w:val="5"/>
  </w:num>
  <w:num w:numId="23">
    <w:abstractNumId w:val="9"/>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8C"/>
    <w:rsid w:val="00006B1C"/>
    <w:rsid w:val="00010303"/>
    <w:rsid w:val="00016E3F"/>
    <w:rsid w:val="0002234D"/>
    <w:rsid w:val="00024045"/>
    <w:rsid w:val="000427C9"/>
    <w:rsid w:val="000432F8"/>
    <w:rsid w:val="00046543"/>
    <w:rsid w:val="000471B6"/>
    <w:rsid w:val="00047B8C"/>
    <w:rsid w:val="00053358"/>
    <w:rsid w:val="00053FB6"/>
    <w:rsid w:val="00062F44"/>
    <w:rsid w:val="0006522F"/>
    <w:rsid w:val="00072668"/>
    <w:rsid w:val="00072F01"/>
    <w:rsid w:val="00073FF6"/>
    <w:rsid w:val="00081B52"/>
    <w:rsid w:val="00091764"/>
    <w:rsid w:val="00092F70"/>
    <w:rsid w:val="000A1130"/>
    <w:rsid w:val="000A2DD7"/>
    <w:rsid w:val="000A5057"/>
    <w:rsid w:val="000B0A44"/>
    <w:rsid w:val="000B0DB3"/>
    <w:rsid w:val="000C2C99"/>
    <w:rsid w:val="000D218D"/>
    <w:rsid w:val="000D7E2B"/>
    <w:rsid w:val="000E41BC"/>
    <w:rsid w:val="000F79FC"/>
    <w:rsid w:val="000F7F5B"/>
    <w:rsid w:val="001050A1"/>
    <w:rsid w:val="00111AE5"/>
    <w:rsid w:val="001122A7"/>
    <w:rsid w:val="00116836"/>
    <w:rsid w:val="0011769A"/>
    <w:rsid w:val="00130D4F"/>
    <w:rsid w:val="00135492"/>
    <w:rsid w:val="00144015"/>
    <w:rsid w:val="00155C53"/>
    <w:rsid w:val="00161B10"/>
    <w:rsid w:val="00161EE9"/>
    <w:rsid w:val="001635CC"/>
    <w:rsid w:val="00174ACB"/>
    <w:rsid w:val="001804D5"/>
    <w:rsid w:val="0018071E"/>
    <w:rsid w:val="0018653F"/>
    <w:rsid w:val="001A2631"/>
    <w:rsid w:val="001B24F7"/>
    <w:rsid w:val="001B4E6E"/>
    <w:rsid w:val="001C1DE7"/>
    <w:rsid w:val="001D45EB"/>
    <w:rsid w:val="001E7242"/>
    <w:rsid w:val="001F00E4"/>
    <w:rsid w:val="001F34E0"/>
    <w:rsid w:val="001F43CC"/>
    <w:rsid w:val="001F4880"/>
    <w:rsid w:val="001F75CE"/>
    <w:rsid w:val="00204EA5"/>
    <w:rsid w:val="0021678D"/>
    <w:rsid w:val="00217BE6"/>
    <w:rsid w:val="00244DC8"/>
    <w:rsid w:val="002524A9"/>
    <w:rsid w:val="002567FF"/>
    <w:rsid w:val="00266021"/>
    <w:rsid w:val="00270536"/>
    <w:rsid w:val="0027250A"/>
    <w:rsid w:val="002953F6"/>
    <w:rsid w:val="002963D3"/>
    <w:rsid w:val="00297500"/>
    <w:rsid w:val="002A0FC5"/>
    <w:rsid w:val="002B7D1E"/>
    <w:rsid w:val="002C3EDC"/>
    <w:rsid w:val="002D0027"/>
    <w:rsid w:val="002E0E6B"/>
    <w:rsid w:val="002E2A1B"/>
    <w:rsid w:val="002E7047"/>
    <w:rsid w:val="002F041B"/>
    <w:rsid w:val="002F5DE6"/>
    <w:rsid w:val="002F73F3"/>
    <w:rsid w:val="00313921"/>
    <w:rsid w:val="003309CF"/>
    <w:rsid w:val="00332633"/>
    <w:rsid w:val="00343486"/>
    <w:rsid w:val="00350693"/>
    <w:rsid w:val="0036638E"/>
    <w:rsid w:val="00372385"/>
    <w:rsid w:val="003776B7"/>
    <w:rsid w:val="00384D46"/>
    <w:rsid w:val="003927B5"/>
    <w:rsid w:val="003A433C"/>
    <w:rsid w:val="003A64EE"/>
    <w:rsid w:val="003C00DC"/>
    <w:rsid w:val="003C0855"/>
    <w:rsid w:val="003C230E"/>
    <w:rsid w:val="003D14F9"/>
    <w:rsid w:val="003E7994"/>
    <w:rsid w:val="003F3DCF"/>
    <w:rsid w:val="00426EC8"/>
    <w:rsid w:val="00430DE4"/>
    <w:rsid w:val="00452D28"/>
    <w:rsid w:val="0045530F"/>
    <w:rsid w:val="00467614"/>
    <w:rsid w:val="00475A10"/>
    <w:rsid w:val="004828D7"/>
    <w:rsid w:val="004851AE"/>
    <w:rsid w:val="00485CB8"/>
    <w:rsid w:val="0049104D"/>
    <w:rsid w:val="004931AF"/>
    <w:rsid w:val="00493D30"/>
    <w:rsid w:val="004A5EB7"/>
    <w:rsid w:val="004A61A8"/>
    <w:rsid w:val="004B44F9"/>
    <w:rsid w:val="004B532E"/>
    <w:rsid w:val="004C0A3E"/>
    <w:rsid w:val="004D0568"/>
    <w:rsid w:val="004D583E"/>
    <w:rsid w:val="004D7125"/>
    <w:rsid w:val="004E760F"/>
    <w:rsid w:val="004F052B"/>
    <w:rsid w:val="005007AA"/>
    <w:rsid w:val="00502FB0"/>
    <w:rsid w:val="00503697"/>
    <w:rsid w:val="005122E8"/>
    <w:rsid w:val="0051262C"/>
    <w:rsid w:val="00517727"/>
    <w:rsid w:val="00540AD7"/>
    <w:rsid w:val="00545B1C"/>
    <w:rsid w:val="00560C94"/>
    <w:rsid w:val="005669A6"/>
    <w:rsid w:val="005712BC"/>
    <w:rsid w:val="0057229A"/>
    <w:rsid w:val="0057646D"/>
    <w:rsid w:val="00577C20"/>
    <w:rsid w:val="00587805"/>
    <w:rsid w:val="00597AF2"/>
    <w:rsid w:val="005B3E65"/>
    <w:rsid w:val="005B6B09"/>
    <w:rsid w:val="005D7383"/>
    <w:rsid w:val="005E03F5"/>
    <w:rsid w:val="005E3DF4"/>
    <w:rsid w:val="006033DD"/>
    <w:rsid w:val="00614A32"/>
    <w:rsid w:val="00616ECB"/>
    <w:rsid w:val="00617D88"/>
    <w:rsid w:val="0062246C"/>
    <w:rsid w:val="006258E0"/>
    <w:rsid w:val="006271B2"/>
    <w:rsid w:val="0063030F"/>
    <w:rsid w:val="0063279C"/>
    <w:rsid w:val="00651A5D"/>
    <w:rsid w:val="00661859"/>
    <w:rsid w:val="00664283"/>
    <w:rsid w:val="00681934"/>
    <w:rsid w:val="0068303D"/>
    <w:rsid w:val="006968D7"/>
    <w:rsid w:val="00696988"/>
    <w:rsid w:val="006A58EA"/>
    <w:rsid w:val="006A6DCC"/>
    <w:rsid w:val="006A73D8"/>
    <w:rsid w:val="006C20C1"/>
    <w:rsid w:val="006D0423"/>
    <w:rsid w:val="006D4749"/>
    <w:rsid w:val="006D6DB0"/>
    <w:rsid w:val="006E2CF9"/>
    <w:rsid w:val="006E4A71"/>
    <w:rsid w:val="006F2D40"/>
    <w:rsid w:val="00714544"/>
    <w:rsid w:val="00717EA0"/>
    <w:rsid w:val="00730212"/>
    <w:rsid w:val="00734E44"/>
    <w:rsid w:val="007424A4"/>
    <w:rsid w:val="00743AC0"/>
    <w:rsid w:val="00745700"/>
    <w:rsid w:val="00747283"/>
    <w:rsid w:val="007500C7"/>
    <w:rsid w:val="00750420"/>
    <w:rsid w:val="00752C53"/>
    <w:rsid w:val="0076360A"/>
    <w:rsid w:val="00770477"/>
    <w:rsid w:val="0077162A"/>
    <w:rsid w:val="00771DD4"/>
    <w:rsid w:val="00773179"/>
    <w:rsid w:val="007766A1"/>
    <w:rsid w:val="0077712C"/>
    <w:rsid w:val="007803C6"/>
    <w:rsid w:val="007810D1"/>
    <w:rsid w:val="0079625E"/>
    <w:rsid w:val="007A23DF"/>
    <w:rsid w:val="007A5C47"/>
    <w:rsid w:val="007A604D"/>
    <w:rsid w:val="007C4513"/>
    <w:rsid w:val="007D3111"/>
    <w:rsid w:val="007E01DA"/>
    <w:rsid w:val="00834B65"/>
    <w:rsid w:val="00837D51"/>
    <w:rsid w:val="008439AC"/>
    <w:rsid w:val="00861ABA"/>
    <w:rsid w:val="008621BE"/>
    <w:rsid w:val="00863372"/>
    <w:rsid w:val="0087541D"/>
    <w:rsid w:val="00877CB6"/>
    <w:rsid w:val="00897558"/>
    <w:rsid w:val="008A0976"/>
    <w:rsid w:val="008A0F9D"/>
    <w:rsid w:val="008D3394"/>
    <w:rsid w:val="008E4703"/>
    <w:rsid w:val="008F3D1B"/>
    <w:rsid w:val="0090005A"/>
    <w:rsid w:val="00902380"/>
    <w:rsid w:val="00911A42"/>
    <w:rsid w:val="009250D1"/>
    <w:rsid w:val="00926FF9"/>
    <w:rsid w:val="00950A42"/>
    <w:rsid w:val="00951BF5"/>
    <w:rsid w:val="00957CB5"/>
    <w:rsid w:val="0096451A"/>
    <w:rsid w:val="009673E4"/>
    <w:rsid w:val="009816DC"/>
    <w:rsid w:val="009A2CCC"/>
    <w:rsid w:val="009B52C3"/>
    <w:rsid w:val="009B603C"/>
    <w:rsid w:val="009B7F2D"/>
    <w:rsid w:val="009D1BEF"/>
    <w:rsid w:val="009D5928"/>
    <w:rsid w:val="009E100D"/>
    <w:rsid w:val="009F4DE7"/>
    <w:rsid w:val="009F5637"/>
    <w:rsid w:val="009F6DD0"/>
    <w:rsid w:val="00A0566F"/>
    <w:rsid w:val="00A06C17"/>
    <w:rsid w:val="00A0761F"/>
    <w:rsid w:val="00A12C16"/>
    <w:rsid w:val="00A13CA8"/>
    <w:rsid w:val="00A23A17"/>
    <w:rsid w:val="00A23C1A"/>
    <w:rsid w:val="00A43E01"/>
    <w:rsid w:val="00A45BBB"/>
    <w:rsid w:val="00A53E63"/>
    <w:rsid w:val="00A54F04"/>
    <w:rsid w:val="00A73FD0"/>
    <w:rsid w:val="00A84FBF"/>
    <w:rsid w:val="00AA145C"/>
    <w:rsid w:val="00AA5D16"/>
    <w:rsid w:val="00AA6F21"/>
    <w:rsid w:val="00AB1546"/>
    <w:rsid w:val="00AB3614"/>
    <w:rsid w:val="00AB3FE1"/>
    <w:rsid w:val="00AB4662"/>
    <w:rsid w:val="00AB4F75"/>
    <w:rsid w:val="00AB5B1A"/>
    <w:rsid w:val="00AB6A1A"/>
    <w:rsid w:val="00AC3EA8"/>
    <w:rsid w:val="00AD018B"/>
    <w:rsid w:val="00AD196A"/>
    <w:rsid w:val="00AD6234"/>
    <w:rsid w:val="00AE3704"/>
    <w:rsid w:val="00AE4D24"/>
    <w:rsid w:val="00AF3C6E"/>
    <w:rsid w:val="00B07A8D"/>
    <w:rsid w:val="00B22E09"/>
    <w:rsid w:val="00B254EE"/>
    <w:rsid w:val="00B32A33"/>
    <w:rsid w:val="00B35E17"/>
    <w:rsid w:val="00B42175"/>
    <w:rsid w:val="00B47C58"/>
    <w:rsid w:val="00B50597"/>
    <w:rsid w:val="00B50790"/>
    <w:rsid w:val="00B52AD1"/>
    <w:rsid w:val="00B53368"/>
    <w:rsid w:val="00B70681"/>
    <w:rsid w:val="00B7715A"/>
    <w:rsid w:val="00B819BF"/>
    <w:rsid w:val="00B81D92"/>
    <w:rsid w:val="00B91B76"/>
    <w:rsid w:val="00B94155"/>
    <w:rsid w:val="00B97DDA"/>
    <w:rsid w:val="00BA256F"/>
    <w:rsid w:val="00BA6AB1"/>
    <w:rsid w:val="00BA7ADD"/>
    <w:rsid w:val="00BB2016"/>
    <w:rsid w:val="00BC1EBF"/>
    <w:rsid w:val="00BC618A"/>
    <w:rsid w:val="00BE05AF"/>
    <w:rsid w:val="00C00095"/>
    <w:rsid w:val="00C04692"/>
    <w:rsid w:val="00C06FFA"/>
    <w:rsid w:val="00C108F4"/>
    <w:rsid w:val="00C152FF"/>
    <w:rsid w:val="00C228E6"/>
    <w:rsid w:val="00C237D3"/>
    <w:rsid w:val="00C269AD"/>
    <w:rsid w:val="00C60C91"/>
    <w:rsid w:val="00C6418D"/>
    <w:rsid w:val="00C71A8D"/>
    <w:rsid w:val="00C734A3"/>
    <w:rsid w:val="00C739E6"/>
    <w:rsid w:val="00C75087"/>
    <w:rsid w:val="00CA2C5A"/>
    <w:rsid w:val="00CB0C34"/>
    <w:rsid w:val="00CB24AB"/>
    <w:rsid w:val="00CC667B"/>
    <w:rsid w:val="00CC6FBE"/>
    <w:rsid w:val="00CC7BF8"/>
    <w:rsid w:val="00CD267A"/>
    <w:rsid w:val="00CD32AB"/>
    <w:rsid w:val="00CF1905"/>
    <w:rsid w:val="00CF4F8D"/>
    <w:rsid w:val="00D020D9"/>
    <w:rsid w:val="00D03CAE"/>
    <w:rsid w:val="00D1114D"/>
    <w:rsid w:val="00D11633"/>
    <w:rsid w:val="00D26371"/>
    <w:rsid w:val="00D348C7"/>
    <w:rsid w:val="00D40878"/>
    <w:rsid w:val="00D4165F"/>
    <w:rsid w:val="00D4265A"/>
    <w:rsid w:val="00D45F02"/>
    <w:rsid w:val="00D77316"/>
    <w:rsid w:val="00D81642"/>
    <w:rsid w:val="00D8280D"/>
    <w:rsid w:val="00D90D76"/>
    <w:rsid w:val="00D91DA7"/>
    <w:rsid w:val="00D92B7A"/>
    <w:rsid w:val="00D92F74"/>
    <w:rsid w:val="00D95230"/>
    <w:rsid w:val="00D95F42"/>
    <w:rsid w:val="00D963E5"/>
    <w:rsid w:val="00DA0BED"/>
    <w:rsid w:val="00DB62D5"/>
    <w:rsid w:val="00DC15FD"/>
    <w:rsid w:val="00DE2196"/>
    <w:rsid w:val="00DE2C8C"/>
    <w:rsid w:val="00DF3E6C"/>
    <w:rsid w:val="00E00E06"/>
    <w:rsid w:val="00E0401E"/>
    <w:rsid w:val="00E04CA9"/>
    <w:rsid w:val="00E10286"/>
    <w:rsid w:val="00E16382"/>
    <w:rsid w:val="00E17EF5"/>
    <w:rsid w:val="00E23B96"/>
    <w:rsid w:val="00E27686"/>
    <w:rsid w:val="00E4048E"/>
    <w:rsid w:val="00E4209E"/>
    <w:rsid w:val="00E422A5"/>
    <w:rsid w:val="00E66D39"/>
    <w:rsid w:val="00E67FF2"/>
    <w:rsid w:val="00E7160A"/>
    <w:rsid w:val="00E71735"/>
    <w:rsid w:val="00E759D8"/>
    <w:rsid w:val="00E75A9F"/>
    <w:rsid w:val="00E81A79"/>
    <w:rsid w:val="00E81DDC"/>
    <w:rsid w:val="00E83EED"/>
    <w:rsid w:val="00E9057C"/>
    <w:rsid w:val="00EA1D4B"/>
    <w:rsid w:val="00EA230D"/>
    <w:rsid w:val="00EB29AA"/>
    <w:rsid w:val="00EC05CD"/>
    <w:rsid w:val="00EC0807"/>
    <w:rsid w:val="00EC140C"/>
    <w:rsid w:val="00EE0CFD"/>
    <w:rsid w:val="00EE1F71"/>
    <w:rsid w:val="00EE739E"/>
    <w:rsid w:val="00EF3456"/>
    <w:rsid w:val="00F038B7"/>
    <w:rsid w:val="00F05E9E"/>
    <w:rsid w:val="00F16882"/>
    <w:rsid w:val="00F175A0"/>
    <w:rsid w:val="00F24C09"/>
    <w:rsid w:val="00F2786F"/>
    <w:rsid w:val="00F34794"/>
    <w:rsid w:val="00F61711"/>
    <w:rsid w:val="00F674A2"/>
    <w:rsid w:val="00F76C97"/>
    <w:rsid w:val="00F83705"/>
    <w:rsid w:val="00F861CC"/>
    <w:rsid w:val="00FA620F"/>
    <w:rsid w:val="00FB248C"/>
    <w:rsid w:val="00FC0ADC"/>
    <w:rsid w:val="00FC540C"/>
    <w:rsid w:val="00FD06A2"/>
    <w:rsid w:val="00FD3416"/>
    <w:rsid w:val="00FD3735"/>
    <w:rsid w:val="00FE5FBF"/>
    <w:rsid w:val="00FE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975A"/>
  <w15:chartTrackingRefBased/>
  <w15:docId w15:val="{BD7D5A3E-F5D6-4261-8B86-0B2FB848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0A"/>
  </w:style>
  <w:style w:type="paragraph" w:styleId="Heading1">
    <w:name w:val="heading 1"/>
    <w:basedOn w:val="Normal"/>
    <w:next w:val="Normal"/>
    <w:link w:val="Heading1Char"/>
    <w:uiPriority w:val="9"/>
    <w:qFormat/>
    <w:rsid w:val="00E4048E"/>
    <w:pPr>
      <w:numPr>
        <w:numId w:val="23"/>
      </w:numPr>
      <w:outlineLvl w:val="0"/>
    </w:pPr>
    <w:rPr>
      <w:b/>
    </w:rPr>
  </w:style>
  <w:style w:type="paragraph" w:styleId="Heading2">
    <w:name w:val="heading 2"/>
    <w:basedOn w:val="Normal"/>
    <w:next w:val="Normal"/>
    <w:link w:val="Heading2Char"/>
    <w:uiPriority w:val="9"/>
    <w:unhideWhenUsed/>
    <w:qFormat/>
    <w:rsid w:val="00155C53"/>
    <w:pPr>
      <w:numPr>
        <w:numId w:val="5"/>
      </w:numPr>
      <w:outlineLvl w:val="1"/>
    </w:pPr>
    <w:rPr>
      <w:b/>
    </w:rPr>
  </w:style>
  <w:style w:type="paragraph" w:styleId="Heading3">
    <w:name w:val="heading 3"/>
    <w:basedOn w:val="Normal"/>
    <w:next w:val="Normal"/>
    <w:link w:val="Heading3Char"/>
    <w:uiPriority w:val="9"/>
    <w:unhideWhenUsed/>
    <w:qFormat/>
    <w:rsid w:val="000E41BC"/>
    <w:pPr>
      <w:numPr>
        <w:ilvl w:val="2"/>
        <w:numId w:val="23"/>
      </w:numPr>
      <w:outlineLvl w:val="2"/>
    </w:pPr>
    <w:rPr>
      <w:i/>
    </w:rPr>
  </w:style>
  <w:style w:type="paragraph" w:styleId="Heading4">
    <w:name w:val="heading 4"/>
    <w:basedOn w:val="Normal"/>
    <w:next w:val="Normal"/>
    <w:link w:val="Heading4Char"/>
    <w:uiPriority w:val="9"/>
    <w:semiHidden/>
    <w:unhideWhenUsed/>
    <w:qFormat/>
    <w:rsid w:val="000C2C99"/>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2C99"/>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2C99"/>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2C99"/>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2C99"/>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C99"/>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052B"/>
    <w:pPr>
      <w:spacing w:after="0" w:line="240" w:lineRule="auto"/>
    </w:pPr>
    <w:rPr>
      <w:sz w:val="20"/>
      <w:szCs w:val="20"/>
    </w:rPr>
  </w:style>
  <w:style w:type="character" w:customStyle="1" w:styleId="FootnoteTextChar">
    <w:name w:val="Footnote Text Char"/>
    <w:basedOn w:val="DefaultParagraphFont"/>
    <w:link w:val="FootnoteText"/>
    <w:uiPriority w:val="99"/>
    <w:rsid w:val="004F052B"/>
    <w:rPr>
      <w:sz w:val="20"/>
      <w:szCs w:val="20"/>
    </w:rPr>
  </w:style>
  <w:style w:type="character" w:styleId="FootnoteReference">
    <w:name w:val="footnote reference"/>
    <w:basedOn w:val="DefaultParagraphFont"/>
    <w:uiPriority w:val="99"/>
    <w:unhideWhenUsed/>
    <w:rsid w:val="004F052B"/>
    <w:rPr>
      <w:vertAlign w:val="superscript"/>
    </w:rPr>
  </w:style>
  <w:style w:type="paragraph" w:styleId="Footer">
    <w:name w:val="footer"/>
    <w:basedOn w:val="Normal"/>
    <w:link w:val="FooterChar"/>
    <w:uiPriority w:val="99"/>
    <w:unhideWhenUsed/>
    <w:rsid w:val="004D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68"/>
  </w:style>
  <w:style w:type="character" w:styleId="PageNumber">
    <w:name w:val="page number"/>
    <w:basedOn w:val="DefaultParagraphFont"/>
    <w:uiPriority w:val="99"/>
    <w:semiHidden/>
    <w:unhideWhenUsed/>
    <w:rsid w:val="004D0568"/>
  </w:style>
  <w:style w:type="character" w:styleId="CommentReference">
    <w:name w:val="annotation reference"/>
    <w:basedOn w:val="DefaultParagraphFont"/>
    <w:uiPriority w:val="99"/>
    <w:semiHidden/>
    <w:unhideWhenUsed/>
    <w:rsid w:val="004828D7"/>
    <w:rPr>
      <w:sz w:val="16"/>
      <w:szCs w:val="16"/>
    </w:rPr>
  </w:style>
  <w:style w:type="paragraph" w:styleId="CommentText">
    <w:name w:val="annotation text"/>
    <w:basedOn w:val="Normal"/>
    <w:link w:val="CommentTextChar"/>
    <w:uiPriority w:val="99"/>
    <w:semiHidden/>
    <w:unhideWhenUsed/>
    <w:rsid w:val="004828D7"/>
    <w:pPr>
      <w:spacing w:line="240" w:lineRule="auto"/>
    </w:pPr>
    <w:rPr>
      <w:sz w:val="20"/>
      <w:szCs w:val="20"/>
    </w:rPr>
  </w:style>
  <w:style w:type="character" w:customStyle="1" w:styleId="CommentTextChar">
    <w:name w:val="Comment Text Char"/>
    <w:basedOn w:val="DefaultParagraphFont"/>
    <w:link w:val="CommentText"/>
    <w:uiPriority w:val="99"/>
    <w:semiHidden/>
    <w:rsid w:val="004828D7"/>
    <w:rPr>
      <w:sz w:val="20"/>
      <w:szCs w:val="20"/>
    </w:rPr>
  </w:style>
  <w:style w:type="paragraph" w:styleId="CommentSubject">
    <w:name w:val="annotation subject"/>
    <w:basedOn w:val="CommentText"/>
    <w:next w:val="CommentText"/>
    <w:link w:val="CommentSubjectChar"/>
    <w:uiPriority w:val="99"/>
    <w:semiHidden/>
    <w:unhideWhenUsed/>
    <w:rsid w:val="004828D7"/>
    <w:rPr>
      <w:b/>
      <w:bCs/>
    </w:rPr>
  </w:style>
  <w:style w:type="character" w:customStyle="1" w:styleId="CommentSubjectChar">
    <w:name w:val="Comment Subject Char"/>
    <w:basedOn w:val="CommentTextChar"/>
    <w:link w:val="CommentSubject"/>
    <w:uiPriority w:val="99"/>
    <w:semiHidden/>
    <w:rsid w:val="004828D7"/>
    <w:rPr>
      <w:b/>
      <w:bCs/>
      <w:sz w:val="20"/>
      <w:szCs w:val="20"/>
    </w:rPr>
  </w:style>
  <w:style w:type="paragraph" w:styleId="BalloonText">
    <w:name w:val="Balloon Text"/>
    <w:basedOn w:val="Normal"/>
    <w:link w:val="BalloonTextChar"/>
    <w:uiPriority w:val="99"/>
    <w:semiHidden/>
    <w:unhideWhenUsed/>
    <w:rsid w:val="0048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D7"/>
    <w:rPr>
      <w:rFonts w:ascii="Segoe UI" w:hAnsi="Segoe UI" w:cs="Segoe UI"/>
      <w:sz w:val="18"/>
      <w:szCs w:val="18"/>
    </w:rPr>
  </w:style>
  <w:style w:type="paragraph" w:styleId="ListParagraph">
    <w:name w:val="List Paragraph"/>
    <w:basedOn w:val="Normal"/>
    <w:uiPriority w:val="34"/>
    <w:qFormat/>
    <w:rsid w:val="00730212"/>
    <w:pPr>
      <w:ind w:left="720"/>
      <w:contextualSpacing/>
    </w:pPr>
  </w:style>
  <w:style w:type="paragraph" w:styleId="Title">
    <w:name w:val="Title"/>
    <w:basedOn w:val="Normal"/>
    <w:next w:val="Normal"/>
    <w:link w:val="TitleChar"/>
    <w:uiPriority w:val="10"/>
    <w:qFormat/>
    <w:rsid w:val="00E4048E"/>
    <w:rPr>
      <w:b/>
    </w:rPr>
  </w:style>
  <w:style w:type="character" w:customStyle="1" w:styleId="TitleChar">
    <w:name w:val="Title Char"/>
    <w:basedOn w:val="DefaultParagraphFont"/>
    <w:link w:val="Title"/>
    <w:uiPriority w:val="10"/>
    <w:rsid w:val="00E4048E"/>
    <w:rPr>
      <w:b/>
    </w:rPr>
  </w:style>
  <w:style w:type="character" w:customStyle="1" w:styleId="Heading1Char">
    <w:name w:val="Heading 1 Char"/>
    <w:basedOn w:val="DefaultParagraphFont"/>
    <w:link w:val="Heading1"/>
    <w:uiPriority w:val="9"/>
    <w:rsid w:val="00E4048E"/>
    <w:rPr>
      <w:b/>
    </w:rPr>
  </w:style>
  <w:style w:type="character" w:customStyle="1" w:styleId="Heading2Char">
    <w:name w:val="Heading 2 Char"/>
    <w:basedOn w:val="DefaultParagraphFont"/>
    <w:link w:val="Heading2"/>
    <w:uiPriority w:val="9"/>
    <w:rsid w:val="00155C53"/>
    <w:rPr>
      <w:b/>
    </w:rPr>
  </w:style>
  <w:style w:type="character" w:customStyle="1" w:styleId="Heading3Char">
    <w:name w:val="Heading 3 Char"/>
    <w:basedOn w:val="DefaultParagraphFont"/>
    <w:link w:val="Heading3"/>
    <w:uiPriority w:val="9"/>
    <w:rsid w:val="000E41BC"/>
    <w:rPr>
      <w:i/>
    </w:rPr>
  </w:style>
  <w:style w:type="paragraph" w:styleId="Quote">
    <w:name w:val="Quote"/>
    <w:basedOn w:val="Normal"/>
    <w:next w:val="Normal"/>
    <w:link w:val="QuoteChar"/>
    <w:uiPriority w:val="29"/>
    <w:qFormat/>
    <w:rsid w:val="003776B7"/>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3776B7"/>
    <w:rPr>
      <w:iCs/>
      <w:color w:val="404040" w:themeColor="text1" w:themeTint="BF"/>
    </w:rPr>
  </w:style>
  <w:style w:type="character" w:styleId="PlaceholderText">
    <w:name w:val="Placeholder Text"/>
    <w:basedOn w:val="DefaultParagraphFont"/>
    <w:uiPriority w:val="99"/>
    <w:semiHidden/>
    <w:rsid w:val="0077162A"/>
    <w:rPr>
      <w:color w:val="808080"/>
    </w:rPr>
  </w:style>
  <w:style w:type="character" w:styleId="Hyperlink">
    <w:name w:val="Hyperlink"/>
    <w:basedOn w:val="DefaultParagraphFont"/>
    <w:uiPriority w:val="99"/>
    <w:unhideWhenUsed/>
    <w:rsid w:val="00902380"/>
    <w:rPr>
      <w:color w:val="0563C1" w:themeColor="hyperlink"/>
      <w:u w:val="single"/>
    </w:rPr>
  </w:style>
  <w:style w:type="paragraph" w:styleId="TOCHeading">
    <w:name w:val="TOC Heading"/>
    <w:basedOn w:val="Heading1"/>
    <w:next w:val="Normal"/>
    <w:uiPriority w:val="39"/>
    <w:unhideWhenUsed/>
    <w:qFormat/>
    <w:rsid w:val="001A2631"/>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B3614"/>
    <w:pPr>
      <w:tabs>
        <w:tab w:val="left" w:pos="440"/>
        <w:tab w:val="right" w:leader="dot" w:pos="9350"/>
      </w:tabs>
      <w:spacing w:after="0"/>
    </w:pPr>
  </w:style>
  <w:style w:type="paragraph" w:styleId="TOC2">
    <w:name w:val="toc 2"/>
    <w:basedOn w:val="Normal"/>
    <w:next w:val="Normal"/>
    <w:autoRedefine/>
    <w:uiPriority w:val="39"/>
    <w:unhideWhenUsed/>
    <w:rsid w:val="001A2631"/>
    <w:pPr>
      <w:spacing w:after="100"/>
      <w:ind w:left="220"/>
    </w:pPr>
  </w:style>
  <w:style w:type="paragraph" w:styleId="TOC3">
    <w:name w:val="toc 3"/>
    <w:basedOn w:val="Normal"/>
    <w:next w:val="Normal"/>
    <w:autoRedefine/>
    <w:uiPriority w:val="39"/>
    <w:unhideWhenUsed/>
    <w:rsid w:val="001A2631"/>
    <w:pPr>
      <w:spacing w:after="100"/>
      <w:ind w:left="440"/>
    </w:pPr>
  </w:style>
  <w:style w:type="character" w:customStyle="1" w:styleId="Heading4Char">
    <w:name w:val="Heading 4 Char"/>
    <w:basedOn w:val="DefaultParagraphFont"/>
    <w:link w:val="Heading4"/>
    <w:uiPriority w:val="9"/>
    <w:semiHidden/>
    <w:rsid w:val="000C2C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2C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2C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2C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C99"/>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E23B96"/>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646">
      <w:bodyDiv w:val="1"/>
      <w:marLeft w:val="0"/>
      <w:marRight w:val="0"/>
      <w:marTop w:val="0"/>
      <w:marBottom w:val="0"/>
      <w:divBdr>
        <w:top w:val="none" w:sz="0" w:space="0" w:color="auto"/>
        <w:left w:val="none" w:sz="0" w:space="0" w:color="auto"/>
        <w:bottom w:val="none" w:sz="0" w:space="0" w:color="auto"/>
        <w:right w:val="none" w:sz="0" w:space="0" w:color="auto"/>
      </w:divBdr>
    </w:div>
    <w:div w:id="748844255">
      <w:bodyDiv w:val="1"/>
      <w:marLeft w:val="0"/>
      <w:marRight w:val="0"/>
      <w:marTop w:val="0"/>
      <w:marBottom w:val="0"/>
      <w:divBdr>
        <w:top w:val="none" w:sz="0" w:space="0" w:color="auto"/>
        <w:left w:val="none" w:sz="0" w:space="0" w:color="auto"/>
        <w:bottom w:val="none" w:sz="0" w:space="0" w:color="auto"/>
        <w:right w:val="none" w:sz="0" w:space="0" w:color="auto"/>
      </w:divBdr>
    </w:div>
    <w:div w:id="19468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F085-C5B9-4689-BE00-A6193BCC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38</Pages>
  <Words>16086</Words>
  <Characters>83006</Characters>
  <Application>Microsoft Office Word</Application>
  <DocSecurity>0</DocSecurity>
  <Lines>1137</Lines>
  <Paragraphs>285</Paragraphs>
  <ScaleCrop>false</ScaleCrop>
  <HeadingPairs>
    <vt:vector size="2" baseType="variant">
      <vt:variant>
        <vt:lpstr>Title</vt:lpstr>
      </vt:variant>
      <vt:variant>
        <vt:i4>1</vt:i4>
      </vt:variant>
    </vt:vector>
  </HeadingPairs>
  <TitlesOfParts>
    <vt:vector size="1" baseType="lpstr">
      <vt:lpstr/>
    </vt:vector>
  </TitlesOfParts>
  <Company>The University of Chicago Law School</Company>
  <LinksUpToDate>false</LinksUpToDate>
  <CharactersWithSpaces>98807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Malani</dc:creator>
  <cp:keywords/>
  <dc:description/>
  <cp:lastModifiedBy>Anup Malani</cp:lastModifiedBy>
  <cp:revision>7</cp:revision>
  <cp:lastPrinted>2017-10-06T02:32:00Z</cp:lastPrinted>
  <dcterms:created xsi:type="dcterms:W3CDTF">2018-03-08T20:50:00Z</dcterms:created>
  <dcterms:modified xsi:type="dcterms:W3CDTF">2018-03-15T16:45:00Z</dcterms:modified>
</cp:coreProperties>
</file>